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EC" w:rsidRDefault="00D314EC" w:rsidP="006C4927">
      <w:pPr>
        <w:pStyle w:val="NoSpacing"/>
        <w:jc w:val="center"/>
        <w:rPr>
          <w:sz w:val="36"/>
          <w:szCs w:val="36"/>
          <w:lang w:eastAsia="en-AU"/>
        </w:rPr>
      </w:pPr>
      <w:r>
        <w:rPr>
          <w:noProof/>
          <w:lang w:eastAsia="en-AU"/>
        </w:rPr>
        <w:drawing>
          <wp:inline distT="0" distB="0" distL="0" distR="0" wp14:anchorId="3D0DEA58" wp14:editId="59E40450">
            <wp:extent cx="116459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219200"/>
                    </a:xfrm>
                    <a:prstGeom prst="rect">
                      <a:avLst/>
                    </a:prstGeom>
                    <a:noFill/>
                  </pic:spPr>
                </pic:pic>
              </a:graphicData>
            </a:graphic>
          </wp:inline>
        </w:drawing>
      </w:r>
    </w:p>
    <w:p w:rsidR="00E57A77" w:rsidRPr="006C4927" w:rsidRDefault="00016111" w:rsidP="006C4927">
      <w:pPr>
        <w:pStyle w:val="NoSpacing"/>
        <w:jc w:val="center"/>
        <w:rPr>
          <w:sz w:val="36"/>
          <w:szCs w:val="36"/>
          <w:lang w:eastAsia="en-AU"/>
        </w:rPr>
      </w:pPr>
      <w:r w:rsidRPr="006C4927">
        <w:rPr>
          <w:sz w:val="36"/>
          <w:szCs w:val="36"/>
          <w:lang w:eastAsia="en-AU"/>
        </w:rPr>
        <w:t>Australian Aged</w:t>
      </w:r>
      <w:r w:rsidR="00E57A77" w:rsidRPr="006C4927">
        <w:rPr>
          <w:sz w:val="36"/>
          <w:szCs w:val="36"/>
          <w:lang w:eastAsia="en-AU"/>
        </w:rPr>
        <w:t xml:space="preserve"> C</w:t>
      </w:r>
      <w:r w:rsidRPr="006C4927">
        <w:rPr>
          <w:sz w:val="36"/>
          <w:szCs w:val="36"/>
          <w:lang w:eastAsia="en-AU"/>
        </w:rPr>
        <w:t>are</w:t>
      </w:r>
      <w:r w:rsidR="00E57A77" w:rsidRPr="006C4927">
        <w:rPr>
          <w:sz w:val="36"/>
          <w:szCs w:val="36"/>
          <w:lang w:eastAsia="en-AU"/>
        </w:rPr>
        <w:t xml:space="preserve"> F</w:t>
      </w:r>
      <w:r w:rsidRPr="006C4927">
        <w:rPr>
          <w:sz w:val="36"/>
          <w:szCs w:val="36"/>
          <w:lang w:eastAsia="en-AU"/>
        </w:rPr>
        <w:t>ees</w:t>
      </w:r>
      <w:r w:rsidR="00E57A77" w:rsidRPr="006C4927">
        <w:rPr>
          <w:sz w:val="36"/>
          <w:szCs w:val="36"/>
          <w:lang w:eastAsia="en-AU"/>
        </w:rPr>
        <w:t xml:space="preserve"> </w:t>
      </w:r>
      <w:r w:rsidRPr="006C4927">
        <w:rPr>
          <w:sz w:val="36"/>
          <w:szCs w:val="36"/>
          <w:lang w:eastAsia="en-AU"/>
        </w:rPr>
        <w:t>and</w:t>
      </w:r>
      <w:r w:rsidR="00E57A77" w:rsidRPr="006C4927">
        <w:rPr>
          <w:sz w:val="36"/>
          <w:szCs w:val="36"/>
          <w:lang w:eastAsia="en-AU"/>
        </w:rPr>
        <w:t xml:space="preserve"> P</w:t>
      </w:r>
      <w:r w:rsidRPr="006C4927">
        <w:rPr>
          <w:sz w:val="36"/>
          <w:szCs w:val="36"/>
          <w:lang w:eastAsia="en-AU"/>
        </w:rPr>
        <w:t>ayment</w:t>
      </w:r>
      <w:r w:rsidR="00E57A77" w:rsidRPr="006C4927">
        <w:rPr>
          <w:sz w:val="36"/>
          <w:szCs w:val="36"/>
          <w:lang w:eastAsia="en-AU"/>
        </w:rPr>
        <w:t xml:space="preserve"> O</w:t>
      </w:r>
      <w:r w:rsidRPr="006C4927">
        <w:rPr>
          <w:sz w:val="36"/>
          <w:szCs w:val="36"/>
          <w:lang w:eastAsia="en-AU"/>
        </w:rPr>
        <w:t>ptions</w:t>
      </w:r>
    </w:p>
    <w:p w:rsidR="006C4927" w:rsidRPr="006C4927" w:rsidRDefault="006C4927" w:rsidP="006C4927">
      <w:pPr>
        <w:pStyle w:val="NoSpacing"/>
        <w:jc w:val="both"/>
        <w:rPr>
          <w:lang w:eastAsia="en-AU"/>
        </w:rPr>
      </w:pPr>
    </w:p>
    <w:tbl>
      <w:tblPr>
        <w:tblStyle w:val="TableGrid"/>
        <w:tblW w:w="0" w:type="auto"/>
        <w:shd w:val="clear" w:color="auto" w:fill="FFFFFF" w:themeFill="background1"/>
        <w:tblLook w:val="04A0" w:firstRow="1" w:lastRow="0" w:firstColumn="1" w:lastColumn="0" w:noHBand="0" w:noVBand="1"/>
      </w:tblPr>
      <w:tblGrid>
        <w:gridCol w:w="9854"/>
      </w:tblGrid>
      <w:tr w:rsidR="00EE58B5" w:rsidTr="004D1E0D">
        <w:tc>
          <w:tcPr>
            <w:tcW w:w="9854" w:type="dxa"/>
            <w:shd w:val="clear" w:color="auto" w:fill="FFFFFF" w:themeFill="background1"/>
          </w:tcPr>
          <w:p w:rsidR="00947C27" w:rsidRDefault="00947C27" w:rsidP="00EE58B5">
            <w:pPr>
              <w:pStyle w:val="NoSpacing"/>
              <w:jc w:val="both"/>
              <w:rPr>
                <w:rFonts w:cstheme="minorHAnsi"/>
                <w:b/>
                <w:lang w:eastAsia="en-AU"/>
              </w:rPr>
            </w:pPr>
          </w:p>
          <w:p w:rsidR="00947C27" w:rsidRPr="00947C27" w:rsidRDefault="00947C27" w:rsidP="00EE58B5">
            <w:pPr>
              <w:pStyle w:val="NoSpacing"/>
              <w:jc w:val="both"/>
              <w:rPr>
                <w:rFonts w:cstheme="minorHAnsi"/>
                <w:b/>
                <w:lang w:eastAsia="en-AU"/>
              </w:rPr>
            </w:pPr>
            <w:r w:rsidRPr="00947C27">
              <w:rPr>
                <w:rFonts w:cstheme="minorHAnsi"/>
                <w:b/>
                <w:lang w:eastAsia="en-AU"/>
              </w:rPr>
              <w:t>OVERVIEW</w:t>
            </w:r>
          </w:p>
          <w:p w:rsidR="00947C27" w:rsidRDefault="00947C27" w:rsidP="00EE58B5">
            <w:pPr>
              <w:pStyle w:val="NoSpacing"/>
              <w:jc w:val="both"/>
              <w:rPr>
                <w:rFonts w:cstheme="minorHAnsi"/>
                <w:lang w:eastAsia="en-AU"/>
              </w:rPr>
            </w:pPr>
          </w:p>
          <w:p w:rsidR="00947C27" w:rsidRDefault="00EE58B5" w:rsidP="00EE58B5">
            <w:pPr>
              <w:pStyle w:val="NoSpacing"/>
              <w:jc w:val="both"/>
              <w:rPr>
                <w:rFonts w:cstheme="minorHAnsi"/>
                <w:lang w:eastAsia="en-AU"/>
              </w:rPr>
            </w:pPr>
            <w:r w:rsidRPr="006C4927">
              <w:rPr>
                <w:rFonts w:cstheme="minorHAnsi"/>
                <w:lang w:eastAsia="en-AU"/>
              </w:rPr>
              <w:t xml:space="preserve">The Commonwealth Government of Australia regulates fees payable by a resident in an aged care facility.  </w:t>
            </w:r>
          </w:p>
          <w:p w:rsidR="00947C27" w:rsidRDefault="00947C27" w:rsidP="00EE58B5">
            <w:pPr>
              <w:pStyle w:val="NoSpacing"/>
              <w:jc w:val="both"/>
              <w:rPr>
                <w:rFonts w:cstheme="minorHAnsi"/>
                <w:lang w:eastAsia="en-AU"/>
              </w:rPr>
            </w:pPr>
          </w:p>
          <w:p w:rsidR="00B8630D" w:rsidRDefault="00EE58B5" w:rsidP="00EE58B5">
            <w:pPr>
              <w:pStyle w:val="NoSpacing"/>
              <w:jc w:val="both"/>
              <w:rPr>
                <w:rFonts w:eastAsia="Times New Roman" w:cstheme="minorHAnsi"/>
                <w:lang w:val="en" w:eastAsia="en-AU"/>
              </w:rPr>
            </w:pPr>
            <w:r w:rsidRPr="006C4927">
              <w:rPr>
                <w:rFonts w:eastAsia="Times New Roman" w:cstheme="minorHAnsi"/>
                <w:lang w:val="en" w:eastAsia="en-AU"/>
              </w:rPr>
              <w:t xml:space="preserve">You can use the </w:t>
            </w:r>
            <w:hyperlink r:id="rId9" w:history="1">
              <w:r w:rsidRPr="006C4927">
                <w:rPr>
                  <w:rFonts w:eastAsia="Times New Roman" w:cstheme="minorHAnsi"/>
                  <w:b/>
                  <w:lang w:val="en" w:eastAsia="en-AU"/>
                </w:rPr>
                <w:t>Residential Care Fee Estimator</w:t>
              </w:r>
            </w:hyperlink>
            <w:r w:rsidRPr="006C4927">
              <w:rPr>
                <w:rFonts w:eastAsia="Times New Roman" w:cstheme="minorHAnsi"/>
                <w:lang w:val="en" w:eastAsia="en-AU"/>
              </w:rPr>
              <w:t xml:space="preserve"> to help you estimate what costs your aged care home may ask you to pay</w:t>
            </w:r>
            <w:r w:rsidR="00B8630D">
              <w:rPr>
                <w:rFonts w:eastAsia="Times New Roman" w:cstheme="minorHAnsi"/>
                <w:lang w:val="en" w:eastAsia="en-AU"/>
              </w:rPr>
              <w:t>.</w:t>
            </w:r>
            <w:r w:rsidR="00947C27">
              <w:rPr>
                <w:rFonts w:eastAsia="Times New Roman" w:cstheme="minorHAnsi"/>
                <w:lang w:val="en" w:eastAsia="en-AU"/>
              </w:rPr>
              <w:t xml:space="preserve"> </w:t>
            </w:r>
            <w:r w:rsidR="00B8630D">
              <w:rPr>
                <w:rFonts w:eastAsia="Times New Roman" w:cstheme="minorHAnsi"/>
                <w:lang w:val="en" w:eastAsia="en-AU"/>
              </w:rPr>
              <w:t>R</w:t>
            </w:r>
            <w:r w:rsidR="00947C27">
              <w:rPr>
                <w:rFonts w:eastAsia="Times New Roman" w:cstheme="minorHAnsi"/>
                <w:lang w:val="en" w:eastAsia="en-AU"/>
              </w:rPr>
              <w:t xml:space="preserve">efer </w:t>
            </w:r>
            <w:hyperlink r:id="rId10" w:history="1">
              <w:r w:rsidR="00947C27" w:rsidRPr="004533DF">
                <w:rPr>
                  <w:rStyle w:val="Hyperlink"/>
                  <w:rFonts w:asciiTheme="minorHAnsi" w:eastAsia="Times New Roman" w:hAnsiTheme="minorHAnsi" w:cstheme="minorHAnsi"/>
                  <w:b/>
                  <w:lang w:val="en" w:eastAsia="en-AU"/>
                </w:rPr>
                <w:t>www.myagedcare.gov.au</w:t>
              </w:r>
            </w:hyperlink>
            <w:r w:rsidR="003A7F3E">
              <w:rPr>
                <w:rFonts w:eastAsia="Times New Roman" w:cstheme="minorHAnsi"/>
                <w:b/>
                <w:lang w:val="en" w:eastAsia="en-AU"/>
              </w:rPr>
              <w:t xml:space="preserve"> </w:t>
            </w:r>
            <w:r w:rsidR="003A7F3E" w:rsidRPr="003A7F3E">
              <w:rPr>
                <w:rFonts w:eastAsia="Times New Roman" w:cstheme="minorHAnsi"/>
                <w:lang w:val="en" w:eastAsia="en-AU"/>
              </w:rPr>
              <w:t>or call</w:t>
            </w:r>
            <w:r w:rsidR="003A7F3E">
              <w:rPr>
                <w:rFonts w:eastAsia="Times New Roman" w:cstheme="minorHAnsi"/>
                <w:b/>
                <w:lang w:val="en" w:eastAsia="en-AU"/>
              </w:rPr>
              <w:t xml:space="preserve"> </w:t>
            </w:r>
            <w:r w:rsidR="003A7F3E">
              <w:rPr>
                <w:rFonts w:eastAsia="Times New Roman" w:cstheme="minorHAnsi"/>
                <w:lang w:val="en" w:eastAsia="en-AU"/>
              </w:rPr>
              <w:t xml:space="preserve">My Aged Care information line </w:t>
            </w:r>
            <w:r w:rsidR="00B8630D">
              <w:rPr>
                <w:rFonts w:eastAsia="Times New Roman" w:cstheme="minorHAnsi"/>
                <w:lang w:val="en" w:eastAsia="en-AU"/>
              </w:rPr>
              <w:t xml:space="preserve">on </w:t>
            </w:r>
            <w:r w:rsidR="003A7F3E" w:rsidRPr="00B8630D">
              <w:rPr>
                <w:rFonts w:eastAsia="Times New Roman" w:cstheme="minorHAnsi"/>
                <w:b/>
                <w:lang w:val="en" w:eastAsia="en-AU"/>
              </w:rPr>
              <w:t>1800 200 422</w:t>
            </w:r>
            <w:r w:rsidR="003A7F3E">
              <w:rPr>
                <w:rFonts w:eastAsia="Times New Roman" w:cstheme="minorHAnsi"/>
                <w:lang w:val="en" w:eastAsia="en-AU"/>
              </w:rPr>
              <w:t xml:space="preserve">.  </w:t>
            </w:r>
          </w:p>
          <w:p w:rsidR="00B8630D" w:rsidRDefault="00B8630D" w:rsidP="00EE58B5">
            <w:pPr>
              <w:pStyle w:val="NoSpacing"/>
              <w:jc w:val="both"/>
              <w:rPr>
                <w:rFonts w:eastAsia="Times New Roman" w:cstheme="minorHAnsi"/>
                <w:lang w:val="en" w:eastAsia="en-AU"/>
              </w:rPr>
            </w:pPr>
          </w:p>
          <w:p w:rsidR="00EE58B5" w:rsidRPr="006C4927" w:rsidRDefault="00EE58B5" w:rsidP="00EE58B5">
            <w:pPr>
              <w:pStyle w:val="NoSpacing"/>
              <w:jc w:val="both"/>
              <w:rPr>
                <w:rFonts w:cstheme="minorHAnsi"/>
              </w:rPr>
            </w:pPr>
            <w:r w:rsidRPr="006C4927">
              <w:rPr>
                <w:rFonts w:eastAsia="Times New Roman" w:cstheme="minorHAnsi"/>
                <w:lang w:val="en" w:eastAsia="en-AU"/>
              </w:rPr>
              <w:t xml:space="preserve">There are strong protections in place to ensure care is affordable for everyone.  The Australian Government regulates the maximum costs you may have to pay.  You will never be denied the care you need </w:t>
            </w:r>
            <w:r w:rsidR="00B8630D">
              <w:rPr>
                <w:rFonts w:eastAsia="Times New Roman" w:cstheme="minorHAnsi"/>
                <w:lang w:val="en" w:eastAsia="en-AU"/>
              </w:rPr>
              <w:t xml:space="preserve">due to </w:t>
            </w:r>
            <w:r w:rsidRPr="006C4927">
              <w:rPr>
                <w:rFonts w:eastAsia="Times New Roman" w:cstheme="minorHAnsi"/>
                <w:lang w:val="en" w:eastAsia="en-AU"/>
              </w:rPr>
              <w:t xml:space="preserve">individual financial circumstances.  </w:t>
            </w:r>
            <w:r w:rsidRPr="006C4927">
              <w:rPr>
                <w:rFonts w:cstheme="minorHAnsi"/>
              </w:rPr>
              <w:t xml:space="preserve">If for some reason you cannot afford the fees, as determined by the Commonwealth Government, you can apply to Centrelink for a Hardship Assessment.  Centrelink will assess </w:t>
            </w:r>
            <w:r w:rsidR="00B8630D">
              <w:rPr>
                <w:rFonts w:cstheme="minorHAnsi"/>
              </w:rPr>
              <w:t xml:space="preserve">your </w:t>
            </w:r>
            <w:r w:rsidRPr="006C4927">
              <w:rPr>
                <w:rFonts w:cstheme="minorHAnsi"/>
              </w:rPr>
              <w:t xml:space="preserve">application on a case by case basis.  We recommend you seek independent financial advice </w:t>
            </w:r>
            <w:r w:rsidR="00B8630D">
              <w:rPr>
                <w:rFonts w:cstheme="minorHAnsi"/>
              </w:rPr>
              <w:t xml:space="preserve">with respect </w:t>
            </w:r>
            <w:r w:rsidRPr="006C4927">
              <w:rPr>
                <w:rFonts w:cstheme="minorHAnsi"/>
              </w:rPr>
              <w:t>to your personal circumstances.</w:t>
            </w:r>
          </w:p>
          <w:p w:rsidR="00EE58B5" w:rsidRPr="00F619ED" w:rsidRDefault="00EE58B5" w:rsidP="00EE58B5">
            <w:pPr>
              <w:pStyle w:val="NoSpacing"/>
              <w:jc w:val="both"/>
              <w:rPr>
                <w:rFonts w:ascii="Times New Roman" w:eastAsia="Times New Roman" w:hAnsi="Times New Roman" w:cs="Times New Roman"/>
                <w:color w:val="4C4C4C"/>
                <w:sz w:val="20"/>
                <w:szCs w:val="20"/>
                <w:lang w:val="en" w:eastAsia="en-AU"/>
              </w:rPr>
            </w:pPr>
          </w:p>
          <w:p w:rsidR="00B8630D" w:rsidRDefault="00EE58B5" w:rsidP="00EE58B5">
            <w:pPr>
              <w:pStyle w:val="NoSpacing"/>
              <w:jc w:val="both"/>
              <w:rPr>
                <w:rFonts w:eastAsia="Times New Roman" w:cstheme="minorHAnsi"/>
                <w:lang w:val="en" w:eastAsia="en-AU"/>
              </w:rPr>
            </w:pPr>
            <w:r w:rsidRPr="00AD768D">
              <w:rPr>
                <w:rFonts w:eastAsia="Times New Roman" w:cstheme="minorHAnsi"/>
                <w:b/>
                <w:lang w:val="en" w:eastAsia="en-AU"/>
              </w:rPr>
              <w:t xml:space="preserve">All fees are payable </w:t>
            </w:r>
            <w:r w:rsidR="00B8630D" w:rsidRPr="00AD768D">
              <w:rPr>
                <w:rFonts w:eastAsia="Times New Roman" w:cstheme="minorHAnsi"/>
                <w:b/>
                <w:lang w:val="en" w:eastAsia="en-AU"/>
              </w:rPr>
              <w:t xml:space="preserve">monthly </w:t>
            </w:r>
            <w:r w:rsidRPr="00AD768D">
              <w:rPr>
                <w:rFonts w:eastAsia="Times New Roman" w:cstheme="minorHAnsi"/>
                <w:b/>
                <w:lang w:val="en" w:eastAsia="en-AU"/>
              </w:rPr>
              <w:t>by direct debit on the 15</w:t>
            </w:r>
            <w:r w:rsidRPr="00AD768D">
              <w:rPr>
                <w:rFonts w:eastAsia="Times New Roman" w:cstheme="minorHAnsi"/>
                <w:b/>
                <w:vertAlign w:val="superscript"/>
                <w:lang w:val="en" w:eastAsia="en-AU"/>
              </w:rPr>
              <w:t>th</w:t>
            </w:r>
            <w:r w:rsidRPr="006C4927">
              <w:rPr>
                <w:rFonts w:eastAsia="Times New Roman" w:cstheme="minorHAnsi"/>
                <w:lang w:val="en" w:eastAsia="en-AU"/>
              </w:rPr>
              <w:t xml:space="preserve"> (or next working day).  </w:t>
            </w:r>
          </w:p>
          <w:p w:rsidR="00B8630D" w:rsidRDefault="00B8630D" w:rsidP="00EE58B5">
            <w:pPr>
              <w:pStyle w:val="NoSpacing"/>
              <w:jc w:val="both"/>
              <w:rPr>
                <w:rFonts w:eastAsia="Times New Roman" w:cstheme="minorHAnsi"/>
                <w:lang w:val="en" w:eastAsia="en-AU"/>
              </w:rPr>
            </w:pPr>
          </w:p>
          <w:p w:rsidR="00EE58B5" w:rsidRPr="006C4927" w:rsidRDefault="00B8630D" w:rsidP="00EE58B5">
            <w:pPr>
              <w:pStyle w:val="NoSpacing"/>
              <w:jc w:val="both"/>
              <w:rPr>
                <w:rFonts w:eastAsia="Times New Roman" w:cstheme="minorHAnsi"/>
                <w:lang w:val="en" w:eastAsia="en-AU"/>
              </w:rPr>
            </w:pPr>
            <w:r>
              <w:rPr>
                <w:rFonts w:eastAsia="Times New Roman" w:cstheme="minorHAnsi"/>
                <w:lang w:val="en" w:eastAsia="en-AU"/>
              </w:rPr>
              <w:t>T</w:t>
            </w:r>
            <w:r w:rsidR="00EE58B5" w:rsidRPr="006C4927">
              <w:rPr>
                <w:rFonts w:eastAsia="Times New Roman" w:cstheme="minorHAnsi"/>
                <w:lang w:val="en" w:eastAsia="en-AU"/>
              </w:rPr>
              <w:t xml:space="preserve">hree types of fees </w:t>
            </w:r>
            <w:r>
              <w:rPr>
                <w:rFonts w:eastAsia="Times New Roman" w:cstheme="minorHAnsi"/>
                <w:lang w:val="en" w:eastAsia="en-AU"/>
              </w:rPr>
              <w:t xml:space="preserve">are </w:t>
            </w:r>
            <w:r w:rsidR="00EE58B5" w:rsidRPr="006C4927">
              <w:rPr>
                <w:rFonts w:eastAsia="Times New Roman" w:cstheme="minorHAnsi"/>
                <w:lang w:val="en" w:eastAsia="en-AU"/>
              </w:rPr>
              <w:t>payable:</w:t>
            </w:r>
          </w:p>
          <w:p w:rsidR="00EE58B5" w:rsidRPr="00F619ED" w:rsidRDefault="00EE58B5" w:rsidP="00EE58B5">
            <w:pPr>
              <w:pStyle w:val="NoSpacing"/>
              <w:jc w:val="both"/>
              <w:rPr>
                <w:sz w:val="20"/>
                <w:szCs w:val="20"/>
                <w:lang w:eastAsia="en-AU"/>
              </w:rPr>
            </w:pPr>
          </w:p>
          <w:p w:rsidR="00EE58B5" w:rsidRDefault="00EE58B5" w:rsidP="00EE58B5">
            <w:pPr>
              <w:pStyle w:val="NoSpacing"/>
              <w:jc w:val="both"/>
              <w:rPr>
                <w:b/>
                <w:lang w:eastAsia="en-AU"/>
              </w:rPr>
            </w:pPr>
            <w:r w:rsidRPr="006C4927">
              <w:rPr>
                <w:b/>
                <w:lang w:eastAsia="en-AU"/>
              </w:rPr>
              <w:t>STANDARD RESIDENT CONTRIBUTION OR BASIC DAILY CARE FEE</w:t>
            </w:r>
          </w:p>
          <w:p w:rsidR="00B8630D" w:rsidRPr="006C4927" w:rsidRDefault="00B8630D" w:rsidP="00EE58B5">
            <w:pPr>
              <w:pStyle w:val="NoSpacing"/>
              <w:jc w:val="both"/>
              <w:rPr>
                <w:b/>
                <w:i/>
                <w:lang w:eastAsia="en-AU"/>
              </w:rPr>
            </w:pPr>
          </w:p>
          <w:p w:rsidR="00EE58B5" w:rsidRPr="006C4927" w:rsidRDefault="00EE58B5" w:rsidP="00EE58B5">
            <w:pPr>
              <w:pStyle w:val="NoSpacing"/>
              <w:jc w:val="both"/>
              <w:rPr>
                <w:lang w:eastAsia="en-AU"/>
              </w:rPr>
            </w:pPr>
            <w:r w:rsidRPr="006C4927">
              <w:rPr>
                <w:lang w:eastAsia="en-AU"/>
              </w:rPr>
              <w:t xml:space="preserve">The Standard Resident Contribution or </w:t>
            </w:r>
            <w:r w:rsidRPr="00FE26A8">
              <w:rPr>
                <w:b/>
                <w:lang w:eastAsia="en-AU"/>
              </w:rPr>
              <w:t>Basic daily care fee</w:t>
            </w:r>
            <w:r w:rsidRPr="006C4927">
              <w:rPr>
                <w:lang w:eastAsia="en-AU"/>
              </w:rPr>
              <w:t xml:space="preserve"> is currently </w:t>
            </w:r>
            <w:r w:rsidRPr="00B8630D">
              <w:rPr>
                <w:b/>
                <w:lang w:eastAsia="en-AU"/>
              </w:rPr>
              <w:t>$</w:t>
            </w:r>
            <w:r w:rsidR="001C3692" w:rsidRPr="00B8630D">
              <w:rPr>
                <w:b/>
                <w:lang w:eastAsia="en-AU"/>
              </w:rPr>
              <w:t>50.6</w:t>
            </w:r>
            <w:r w:rsidR="00750664" w:rsidRPr="00B8630D">
              <w:rPr>
                <w:b/>
                <w:lang w:eastAsia="en-AU"/>
              </w:rPr>
              <w:t>6</w:t>
            </w:r>
            <w:r w:rsidRPr="00B8630D">
              <w:rPr>
                <w:b/>
                <w:lang w:eastAsia="en-AU"/>
              </w:rPr>
              <w:t xml:space="preserve"> per day</w:t>
            </w:r>
            <w:r w:rsidRPr="00750664">
              <w:rPr>
                <w:lang w:eastAsia="en-AU"/>
              </w:rPr>
              <w:t>.</w:t>
            </w:r>
          </w:p>
          <w:p w:rsidR="00EE58B5" w:rsidRPr="006C4927" w:rsidRDefault="00EE58B5" w:rsidP="00EE58B5">
            <w:pPr>
              <w:pStyle w:val="NoSpacing"/>
              <w:jc w:val="both"/>
              <w:rPr>
                <w:lang w:eastAsia="en-AU"/>
              </w:rPr>
            </w:pPr>
            <w:r w:rsidRPr="006C4927">
              <w:rPr>
                <w:lang w:eastAsia="en-AU"/>
              </w:rPr>
              <w:t xml:space="preserve">This fee is set by the Government and equates to 85% of the single person rate of the basic age pension. The fee amount will be reviewed on 20 March and 20 September </w:t>
            </w:r>
            <w:r w:rsidR="00B8630D">
              <w:rPr>
                <w:lang w:eastAsia="en-AU"/>
              </w:rPr>
              <w:t xml:space="preserve">annually </w:t>
            </w:r>
            <w:r w:rsidRPr="006C4927">
              <w:rPr>
                <w:lang w:eastAsia="en-AU"/>
              </w:rPr>
              <w:t>in line with the pension increase.  Everyone in aged care is required to pay this fee.</w:t>
            </w:r>
          </w:p>
          <w:p w:rsidR="00EE58B5" w:rsidRPr="006C4927" w:rsidRDefault="00EE58B5" w:rsidP="00EE58B5">
            <w:pPr>
              <w:pStyle w:val="NoSpacing"/>
              <w:jc w:val="both"/>
              <w:rPr>
                <w:lang w:eastAsia="en-AU"/>
              </w:rPr>
            </w:pPr>
          </w:p>
          <w:p w:rsidR="00EE58B5" w:rsidRDefault="00EE58B5" w:rsidP="00EE58B5">
            <w:pPr>
              <w:pStyle w:val="NoSpacing"/>
              <w:jc w:val="both"/>
              <w:rPr>
                <w:b/>
                <w:lang w:eastAsia="en-AU"/>
              </w:rPr>
            </w:pPr>
            <w:r w:rsidRPr="006C4927">
              <w:rPr>
                <w:b/>
                <w:lang w:eastAsia="en-AU"/>
              </w:rPr>
              <w:t xml:space="preserve">MEANS TESTED CARE FEE </w:t>
            </w:r>
          </w:p>
          <w:p w:rsidR="00B8630D" w:rsidRPr="006C4927" w:rsidRDefault="00B8630D" w:rsidP="00EE58B5">
            <w:pPr>
              <w:pStyle w:val="NoSpacing"/>
              <w:jc w:val="both"/>
              <w:rPr>
                <w:b/>
                <w:i/>
                <w:lang w:eastAsia="en-AU"/>
              </w:rPr>
            </w:pPr>
          </w:p>
          <w:p w:rsidR="00AD768D" w:rsidRDefault="00EE58B5" w:rsidP="00EE58B5">
            <w:pPr>
              <w:pStyle w:val="NoSpacing"/>
              <w:jc w:val="both"/>
              <w:rPr>
                <w:lang w:eastAsia="en-AU"/>
              </w:rPr>
            </w:pPr>
            <w:r w:rsidRPr="006C4927">
              <w:rPr>
                <w:lang w:eastAsia="en-AU"/>
              </w:rPr>
              <w:t xml:space="preserve">This is an additional daily contribution towards the cost of care that </w:t>
            </w:r>
            <w:r w:rsidR="00B8630D">
              <w:rPr>
                <w:lang w:eastAsia="en-AU"/>
              </w:rPr>
              <w:t xml:space="preserve">you </w:t>
            </w:r>
            <w:r w:rsidRPr="006C4927">
              <w:rPr>
                <w:lang w:eastAsia="en-AU"/>
              </w:rPr>
              <w:t xml:space="preserve">may be asked to pay.  This fee is determined by </w:t>
            </w:r>
            <w:hyperlink r:id="rId11" w:tgtFrame="new" w:history="1">
              <w:r w:rsidRPr="006C4927">
                <w:rPr>
                  <w:lang w:eastAsia="en-AU"/>
                </w:rPr>
                <w:t>Centrelink</w:t>
              </w:r>
            </w:hyperlink>
            <w:r w:rsidRPr="006C4927">
              <w:rPr>
                <w:lang w:eastAsia="en-AU"/>
              </w:rPr>
              <w:t xml:space="preserve"> </w:t>
            </w:r>
            <w:r w:rsidRPr="00B8630D">
              <w:rPr>
                <w:b/>
                <w:lang w:eastAsia="en-AU"/>
              </w:rPr>
              <w:t>based on an individual’s assets and income</w:t>
            </w:r>
            <w:r w:rsidRPr="006C4927">
              <w:rPr>
                <w:lang w:eastAsia="en-AU"/>
              </w:rPr>
              <w:t xml:space="preserve"> once </w:t>
            </w:r>
            <w:r w:rsidR="00B8630D">
              <w:rPr>
                <w:lang w:eastAsia="en-AU"/>
              </w:rPr>
              <w:t>you</w:t>
            </w:r>
            <w:r w:rsidRPr="006C4927">
              <w:rPr>
                <w:lang w:eastAsia="en-AU"/>
              </w:rPr>
              <w:t xml:space="preserve"> have submitted a completed </w:t>
            </w:r>
            <w:r w:rsidR="00B8630D" w:rsidRPr="00B8630D">
              <w:rPr>
                <w:b/>
                <w:lang w:eastAsia="en-AU"/>
              </w:rPr>
              <w:t>‘</w:t>
            </w:r>
            <w:r w:rsidRPr="00B8630D">
              <w:rPr>
                <w:b/>
                <w:i/>
                <w:lang w:eastAsia="en-AU"/>
              </w:rPr>
              <w:t>Request for a Combined Assets and Income Assessment</w:t>
            </w:r>
            <w:r w:rsidR="00B8630D" w:rsidRPr="00B8630D">
              <w:rPr>
                <w:b/>
                <w:i/>
                <w:lang w:eastAsia="en-AU"/>
              </w:rPr>
              <w:t>’</w:t>
            </w:r>
            <w:r w:rsidRPr="00B8630D">
              <w:rPr>
                <w:b/>
                <w:lang w:eastAsia="en-AU"/>
              </w:rPr>
              <w:t xml:space="preserve"> form</w:t>
            </w:r>
            <w:r w:rsidRPr="006C4927">
              <w:rPr>
                <w:lang w:eastAsia="en-AU"/>
              </w:rPr>
              <w:t>.  If you choose not to complete this form</w:t>
            </w:r>
            <w:r w:rsidR="00B8630D">
              <w:rPr>
                <w:lang w:eastAsia="en-AU"/>
              </w:rPr>
              <w:t>,</w:t>
            </w:r>
            <w:r w:rsidRPr="006C4927">
              <w:rPr>
                <w:lang w:eastAsia="en-AU"/>
              </w:rPr>
              <w:t xml:space="preserve"> the maximum daily means tested </w:t>
            </w:r>
            <w:r w:rsidR="00B8630D">
              <w:rPr>
                <w:lang w:eastAsia="en-AU"/>
              </w:rPr>
              <w:t xml:space="preserve">care </w:t>
            </w:r>
            <w:r w:rsidRPr="006C4927">
              <w:rPr>
                <w:lang w:eastAsia="en-AU"/>
              </w:rPr>
              <w:t xml:space="preserve">fee will apply until the cap has been reached. </w:t>
            </w:r>
          </w:p>
          <w:p w:rsidR="00AD768D" w:rsidRDefault="00AD768D" w:rsidP="00EE58B5">
            <w:pPr>
              <w:pStyle w:val="NoSpacing"/>
              <w:jc w:val="both"/>
              <w:rPr>
                <w:lang w:eastAsia="en-AU"/>
              </w:rPr>
            </w:pPr>
          </w:p>
          <w:p w:rsidR="00EE58B5" w:rsidRPr="006C4927" w:rsidRDefault="00EE58B5" w:rsidP="00EE58B5">
            <w:pPr>
              <w:pStyle w:val="NoSpacing"/>
              <w:jc w:val="both"/>
              <w:rPr>
                <w:lang w:eastAsia="en-AU"/>
              </w:rPr>
            </w:pPr>
            <w:r w:rsidRPr="006C4927">
              <w:rPr>
                <w:lang w:eastAsia="en-AU"/>
              </w:rPr>
              <w:t xml:space="preserve">This fee </w:t>
            </w:r>
            <w:r w:rsidR="00AD768D">
              <w:rPr>
                <w:lang w:eastAsia="en-AU"/>
              </w:rPr>
              <w:t xml:space="preserve">(at 20 September 2018) is </w:t>
            </w:r>
            <w:r w:rsidR="003A7F3E">
              <w:rPr>
                <w:lang w:eastAsia="en-AU"/>
              </w:rPr>
              <w:t xml:space="preserve">currently </w:t>
            </w:r>
            <w:r w:rsidRPr="00AD768D">
              <w:rPr>
                <w:b/>
                <w:lang w:eastAsia="en-AU"/>
              </w:rPr>
              <w:t>capped at $</w:t>
            </w:r>
            <w:r w:rsidR="001C3692" w:rsidRPr="00AD768D">
              <w:rPr>
                <w:b/>
                <w:lang w:eastAsia="en-AU"/>
              </w:rPr>
              <w:t>27,232.33</w:t>
            </w:r>
            <w:r w:rsidR="00750664" w:rsidRPr="00AD768D">
              <w:rPr>
                <w:b/>
                <w:lang w:eastAsia="en-AU"/>
              </w:rPr>
              <w:t xml:space="preserve"> per annum and at $</w:t>
            </w:r>
            <w:r w:rsidR="001C3692" w:rsidRPr="00AD768D">
              <w:rPr>
                <w:b/>
                <w:lang w:eastAsia="en-AU"/>
              </w:rPr>
              <w:t>65,357.65</w:t>
            </w:r>
            <w:r w:rsidRPr="00AD768D">
              <w:rPr>
                <w:b/>
                <w:lang w:eastAsia="en-AU"/>
              </w:rPr>
              <w:t xml:space="preserve"> over a </w:t>
            </w:r>
            <w:r w:rsidR="006133A6" w:rsidRPr="00AD768D">
              <w:rPr>
                <w:b/>
                <w:lang w:eastAsia="en-AU"/>
              </w:rPr>
              <w:t>resident</w:t>
            </w:r>
            <w:r w:rsidR="00B8630D" w:rsidRPr="00AD768D">
              <w:rPr>
                <w:b/>
                <w:lang w:eastAsia="en-AU"/>
              </w:rPr>
              <w:t>’</w:t>
            </w:r>
            <w:r w:rsidR="006133A6" w:rsidRPr="00AD768D">
              <w:rPr>
                <w:b/>
                <w:lang w:eastAsia="en-AU"/>
              </w:rPr>
              <w:t>s</w:t>
            </w:r>
            <w:r w:rsidRPr="00AD768D">
              <w:rPr>
                <w:b/>
                <w:lang w:eastAsia="en-AU"/>
              </w:rPr>
              <w:t xml:space="preserve"> lifetime</w:t>
            </w:r>
            <w:r w:rsidRPr="006C4927">
              <w:rPr>
                <w:lang w:eastAsia="en-AU"/>
              </w:rPr>
              <w:t>, however this cap is indexed and increases with each pension increase on 20 March and 20 September each year. This fee is not retained by Nazareth Care, but passed on to the Department of Health.</w:t>
            </w:r>
          </w:p>
          <w:p w:rsidR="00EE58B5" w:rsidRPr="006C4927" w:rsidRDefault="00EE58B5" w:rsidP="00EE58B5">
            <w:pPr>
              <w:pStyle w:val="NoSpacing"/>
              <w:jc w:val="both"/>
              <w:rPr>
                <w:lang w:eastAsia="en-AU"/>
              </w:rPr>
            </w:pPr>
          </w:p>
          <w:p w:rsidR="00EE58B5" w:rsidRDefault="00EE58B5" w:rsidP="00EE58B5">
            <w:pPr>
              <w:pStyle w:val="NoSpacing"/>
              <w:jc w:val="both"/>
              <w:rPr>
                <w:b/>
                <w:lang w:eastAsia="en-AU"/>
              </w:rPr>
            </w:pPr>
            <w:r w:rsidRPr="006C4927">
              <w:rPr>
                <w:b/>
                <w:lang w:eastAsia="en-AU"/>
              </w:rPr>
              <w:t>ACCOMMODATION CONTRIBUTION</w:t>
            </w:r>
            <w:r w:rsidR="00AD768D">
              <w:rPr>
                <w:b/>
                <w:lang w:eastAsia="en-AU"/>
              </w:rPr>
              <w:t xml:space="preserve"> </w:t>
            </w:r>
          </w:p>
          <w:p w:rsidR="00AD768D" w:rsidRPr="006C4927" w:rsidRDefault="00AD768D" w:rsidP="00EE58B5">
            <w:pPr>
              <w:pStyle w:val="NoSpacing"/>
              <w:jc w:val="both"/>
              <w:rPr>
                <w:b/>
                <w:i/>
                <w:lang w:eastAsia="en-AU"/>
              </w:rPr>
            </w:pPr>
          </w:p>
          <w:p w:rsidR="00EE58B5" w:rsidRPr="006C4927" w:rsidRDefault="00EE58B5" w:rsidP="00EE58B5">
            <w:pPr>
              <w:pStyle w:val="NoSpacing"/>
              <w:jc w:val="both"/>
              <w:rPr>
                <w:lang w:eastAsia="en-AU"/>
              </w:rPr>
            </w:pPr>
            <w:r w:rsidRPr="006C4927">
              <w:rPr>
                <w:lang w:eastAsia="en-AU"/>
              </w:rPr>
              <w:t xml:space="preserve">In addition to care fees </w:t>
            </w:r>
            <w:r w:rsidR="00AD768D">
              <w:rPr>
                <w:lang w:eastAsia="en-AU"/>
              </w:rPr>
              <w:t xml:space="preserve">you </w:t>
            </w:r>
            <w:r w:rsidRPr="006C4927">
              <w:rPr>
                <w:lang w:eastAsia="en-AU"/>
              </w:rPr>
              <w:t xml:space="preserve">may also be required to pay an accommodation </w:t>
            </w:r>
            <w:r w:rsidR="00AD768D">
              <w:rPr>
                <w:lang w:eastAsia="en-AU"/>
              </w:rPr>
              <w:t xml:space="preserve">contribution </w:t>
            </w:r>
            <w:r w:rsidRPr="006C4927">
              <w:rPr>
                <w:lang w:eastAsia="en-AU"/>
              </w:rPr>
              <w:t>payment.</w:t>
            </w:r>
          </w:p>
          <w:p w:rsidR="00EE58B5" w:rsidRDefault="00EE58B5" w:rsidP="00EE58B5">
            <w:pPr>
              <w:pStyle w:val="NoSpacing"/>
              <w:jc w:val="both"/>
              <w:rPr>
                <w:lang w:eastAsia="en-AU"/>
              </w:rPr>
            </w:pPr>
            <w:r w:rsidRPr="006C4927">
              <w:rPr>
                <w:lang w:eastAsia="en-AU"/>
              </w:rPr>
              <w:t>The accommodation payment re</w:t>
            </w:r>
            <w:r w:rsidR="00AD768D">
              <w:rPr>
                <w:lang w:eastAsia="en-AU"/>
              </w:rPr>
              <w:t>lates</w:t>
            </w:r>
            <w:r w:rsidRPr="006C4927">
              <w:rPr>
                <w:lang w:eastAsia="en-AU"/>
              </w:rPr>
              <w:t xml:space="preserve"> to the price of the room you </w:t>
            </w:r>
            <w:r w:rsidR="00AD768D">
              <w:rPr>
                <w:lang w:eastAsia="en-AU"/>
              </w:rPr>
              <w:t>select</w:t>
            </w:r>
            <w:r w:rsidRPr="006C4927">
              <w:rPr>
                <w:lang w:eastAsia="en-AU"/>
              </w:rPr>
              <w:t xml:space="preserve"> and </w:t>
            </w:r>
            <w:r w:rsidR="003A7F3E">
              <w:rPr>
                <w:lang w:eastAsia="en-AU"/>
              </w:rPr>
              <w:t>varies across aged care homes,</w:t>
            </w:r>
            <w:r w:rsidR="00F619ED">
              <w:rPr>
                <w:lang w:eastAsia="en-AU"/>
              </w:rPr>
              <w:t xml:space="preserve"> (</w:t>
            </w:r>
            <w:r w:rsidR="00AD768D">
              <w:rPr>
                <w:lang w:eastAsia="en-AU"/>
              </w:rPr>
              <w:t>refer</w:t>
            </w:r>
            <w:r w:rsidR="00F619ED">
              <w:rPr>
                <w:lang w:eastAsia="en-AU"/>
              </w:rPr>
              <w:t xml:space="preserve"> table </w:t>
            </w:r>
            <w:r w:rsidR="00AD768D">
              <w:rPr>
                <w:lang w:eastAsia="en-AU"/>
              </w:rPr>
              <w:t xml:space="preserve">at </w:t>
            </w:r>
            <w:r w:rsidR="00F619ED">
              <w:rPr>
                <w:lang w:eastAsia="en-AU"/>
              </w:rPr>
              <w:t>end of document</w:t>
            </w:r>
            <w:r w:rsidR="003A7F3E">
              <w:rPr>
                <w:lang w:eastAsia="en-AU"/>
              </w:rPr>
              <w:t xml:space="preserve">). </w:t>
            </w:r>
            <w:r w:rsidRPr="006C4927">
              <w:rPr>
                <w:lang w:eastAsia="en-AU"/>
              </w:rPr>
              <w:t xml:space="preserve"> The amount you are required to pay is based on your individual assets and income and is determined by Centrelink through completing a </w:t>
            </w:r>
            <w:r w:rsidR="00AD768D" w:rsidRPr="00AD768D">
              <w:rPr>
                <w:b/>
                <w:lang w:eastAsia="en-AU"/>
              </w:rPr>
              <w:t>‘</w:t>
            </w:r>
            <w:r w:rsidRPr="00AD768D">
              <w:rPr>
                <w:b/>
                <w:i/>
                <w:lang w:eastAsia="en-AU"/>
              </w:rPr>
              <w:t>Request for a Combined Assets and Income Assessment</w:t>
            </w:r>
            <w:r w:rsidR="00AD768D">
              <w:rPr>
                <w:b/>
                <w:i/>
                <w:lang w:eastAsia="en-AU"/>
              </w:rPr>
              <w:t>’</w:t>
            </w:r>
            <w:r w:rsidRPr="00AD768D">
              <w:rPr>
                <w:b/>
                <w:i/>
                <w:lang w:eastAsia="en-AU"/>
              </w:rPr>
              <w:t xml:space="preserve"> </w:t>
            </w:r>
            <w:r w:rsidRPr="00AD768D">
              <w:rPr>
                <w:b/>
                <w:lang w:eastAsia="en-AU"/>
              </w:rPr>
              <w:t>form</w:t>
            </w:r>
            <w:r w:rsidRPr="006C4927">
              <w:rPr>
                <w:lang w:eastAsia="en-AU"/>
              </w:rPr>
              <w:t xml:space="preserve">.  This form is not compulsory to complete, </w:t>
            </w:r>
            <w:r w:rsidR="00AD768D">
              <w:rPr>
                <w:lang w:eastAsia="en-AU"/>
              </w:rPr>
              <w:t xml:space="preserve">however if you </w:t>
            </w:r>
            <w:r w:rsidRPr="006C4927">
              <w:rPr>
                <w:lang w:eastAsia="en-AU"/>
              </w:rPr>
              <w:t xml:space="preserve">choose not to </w:t>
            </w:r>
            <w:r w:rsidR="00AD768D">
              <w:rPr>
                <w:lang w:eastAsia="en-AU"/>
              </w:rPr>
              <w:t xml:space="preserve">complete and submit this form you </w:t>
            </w:r>
            <w:r w:rsidRPr="006C4927">
              <w:rPr>
                <w:lang w:eastAsia="en-AU"/>
              </w:rPr>
              <w:t>will be required to pay the full room price.</w:t>
            </w:r>
          </w:p>
          <w:p w:rsidR="00EE58B5" w:rsidRPr="006C4927" w:rsidRDefault="00EE58B5" w:rsidP="00EE58B5">
            <w:pPr>
              <w:pStyle w:val="NoSpacing"/>
              <w:jc w:val="both"/>
              <w:rPr>
                <w:lang w:eastAsia="en-AU"/>
              </w:rPr>
            </w:pPr>
          </w:p>
          <w:p w:rsidR="00EE58B5" w:rsidRPr="006C4927" w:rsidRDefault="006133A6" w:rsidP="00EE58B5">
            <w:pPr>
              <w:pStyle w:val="NoSpacing"/>
              <w:jc w:val="both"/>
              <w:rPr>
                <w:lang w:eastAsia="en-AU"/>
              </w:rPr>
            </w:pPr>
            <w:r>
              <w:rPr>
                <w:lang w:eastAsia="en-AU"/>
              </w:rPr>
              <w:t>Residents</w:t>
            </w:r>
            <w:r w:rsidR="00EE58B5" w:rsidRPr="006C4927">
              <w:rPr>
                <w:lang w:eastAsia="en-AU"/>
              </w:rPr>
              <w:t xml:space="preserve"> with assets below $</w:t>
            </w:r>
            <w:r w:rsidR="001C3692">
              <w:rPr>
                <w:lang w:eastAsia="en-AU"/>
              </w:rPr>
              <w:t>49,000</w:t>
            </w:r>
            <w:r w:rsidR="00EE58B5" w:rsidRPr="006C4927">
              <w:rPr>
                <w:lang w:eastAsia="en-AU"/>
              </w:rPr>
              <w:t xml:space="preserve"> are classified as supported </w:t>
            </w:r>
            <w:r>
              <w:rPr>
                <w:lang w:eastAsia="en-AU"/>
              </w:rPr>
              <w:t>residents</w:t>
            </w:r>
            <w:r w:rsidR="00EE58B5" w:rsidRPr="006C4927">
              <w:rPr>
                <w:lang w:eastAsia="en-AU"/>
              </w:rPr>
              <w:t xml:space="preserve"> and their accommodation payment will be paid by the Commonwealth Government.  </w:t>
            </w:r>
            <w:r>
              <w:rPr>
                <w:lang w:eastAsia="en-AU"/>
              </w:rPr>
              <w:t>Resident</w:t>
            </w:r>
            <w:r w:rsidR="00F619ED">
              <w:rPr>
                <w:lang w:eastAsia="en-AU"/>
              </w:rPr>
              <w:t>s</w:t>
            </w:r>
            <w:r w:rsidR="00EE58B5" w:rsidRPr="006C4927">
              <w:rPr>
                <w:lang w:eastAsia="en-AU"/>
              </w:rPr>
              <w:t xml:space="preserve"> with assets above $</w:t>
            </w:r>
            <w:r w:rsidR="001C3692">
              <w:rPr>
                <w:lang w:eastAsia="en-AU"/>
              </w:rPr>
              <w:t>49,000</w:t>
            </w:r>
            <w:r w:rsidR="00EE58B5" w:rsidRPr="006C4927">
              <w:rPr>
                <w:lang w:eastAsia="en-AU"/>
              </w:rPr>
              <w:t xml:space="preserve"> and below $</w:t>
            </w:r>
            <w:r w:rsidR="001C3692">
              <w:rPr>
                <w:lang w:eastAsia="en-AU"/>
              </w:rPr>
              <w:t>166,707.20</w:t>
            </w:r>
            <w:r w:rsidR="00EE58B5" w:rsidRPr="006C4927">
              <w:rPr>
                <w:lang w:eastAsia="en-AU"/>
              </w:rPr>
              <w:t xml:space="preserve"> may be required to contribute to the cost of their accommodation.  </w:t>
            </w:r>
            <w:r>
              <w:rPr>
                <w:lang w:eastAsia="en-AU"/>
              </w:rPr>
              <w:t>Residents</w:t>
            </w:r>
            <w:r w:rsidR="00EE58B5" w:rsidRPr="006C4927">
              <w:rPr>
                <w:lang w:eastAsia="en-AU"/>
              </w:rPr>
              <w:t xml:space="preserve"> with assets above $</w:t>
            </w:r>
            <w:r w:rsidR="001C3692">
              <w:rPr>
                <w:lang w:eastAsia="en-AU"/>
              </w:rPr>
              <w:t>166,707.20</w:t>
            </w:r>
            <w:r w:rsidR="001C3692" w:rsidRPr="006C4927">
              <w:rPr>
                <w:lang w:eastAsia="en-AU"/>
              </w:rPr>
              <w:t xml:space="preserve"> </w:t>
            </w:r>
            <w:r w:rsidR="00EE58B5" w:rsidRPr="006C4927">
              <w:rPr>
                <w:lang w:eastAsia="en-AU"/>
              </w:rPr>
              <w:t xml:space="preserve">may be required to pay the full room price applicable to the room they choose. </w:t>
            </w:r>
          </w:p>
          <w:p w:rsidR="00EE58B5" w:rsidRDefault="00EE58B5" w:rsidP="00EE58B5">
            <w:pPr>
              <w:pStyle w:val="NoSpacing"/>
              <w:rPr>
                <w:lang w:eastAsia="en-AU"/>
              </w:rPr>
            </w:pPr>
          </w:p>
          <w:p w:rsidR="00EE58B5" w:rsidRPr="006C4927" w:rsidRDefault="00AD768D" w:rsidP="00EE58B5">
            <w:pPr>
              <w:pStyle w:val="NoSpacing"/>
              <w:jc w:val="both"/>
              <w:rPr>
                <w:lang w:eastAsia="en-AU"/>
              </w:rPr>
            </w:pPr>
            <w:r>
              <w:rPr>
                <w:lang w:eastAsia="en-AU"/>
              </w:rPr>
              <w:t xml:space="preserve">The following </w:t>
            </w:r>
            <w:r w:rsidRPr="00AD768D">
              <w:rPr>
                <w:b/>
                <w:lang w:eastAsia="en-AU"/>
              </w:rPr>
              <w:t>three options</w:t>
            </w:r>
            <w:r>
              <w:rPr>
                <w:lang w:eastAsia="en-AU"/>
              </w:rPr>
              <w:t xml:space="preserve"> are available to </w:t>
            </w:r>
            <w:r w:rsidR="00EE58B5" w:rsidRPr="006C4927">
              <w:rPr>
                <w:lang w:eastAsia="en-AU"/>
              </w:rPr>
              <w:t xml:space="preserve">pay your </w:t>
            </w:r>
            <w:r w:rsidR="00EE58B5" w:rsidRPr="0067520B">
              <w:rPr>
                <w:b/>
                <w:lang w:eastAsia="en-AU"/>
              </w:rPr>
              <w:t>Accommodation Contribution</w:t>
            </w:r>
            <w:r w:rsidR="00EE58B5" w:rsidRPr="006C4927">
              <w:rPr>
                <w:lang w:eastAsia="en-AU"/>
              </w:rPr>
              <w:t xml:space="preserve">. </w:t>
            </w:r>
          </w:p>
          <w:p w:rsidR="00EE58B5" w:rsidRPr="006C4927" w:rsidRDefault="00EE58B5" w:rsidP="00EE58B5">
            <w:pPr>
              <w:pStyle w:val="NoSpacing"/>
              <w:jc w:val="both"/>
              <w:rPr>
                <w:lang w:eastAsia="en-AU"/>
              </w:rPr>
            </w:pPr>
          </w:p>
          <w:p w:rsidR="00F50CB9" w:rsidRDefault="00EE58B5" w:rsidP="00EE58B5">
            <w:pPr>
              <w:pStyle w:val="NoSpacing"/>
              <w:jc w:val="both"/>
            </w:pPr>
            <w:r w:rsidRPr="006C4927">
              <w:rPr>
                <w:b/>
                <w:lang w:eastAsia="en-AU"/>
              </w:rPr>
              <w:t>Daily Accommodation Payment (DAP)</w:t>
            </w:r>
            <w:r w:rsidRPr="006C4927">
              <w:rPr>
                <w:lang w:eastAsia="en-AU"/>
              </w:rPr>
              <w:t xml:space="preserve"> – You can choose not to pay the lump sum amount, but instead </w:t>
            </w:r>
            <w:r w:rsidR="00AD768D">
              <w:rPr>
                <w:lang w:eastAsia="en-AU"/>
              </w:rPr>
              <w:t xml:space="preserve">pay </w:t>
            </w:r>
            <w:r w:rsidRPr="006C4927">
              <w:rPr>
                <w:lang w:eastAsia="en-AU"/>
              </w:rPr>
              <w:t>a daily interest equivalent amount</w:t>
            </w:r>
            <w:r w:rsidR="003A7F3E">
              <w:rPr>
                <w:lang w:eastAsia="en-AU"/>
              </w:rPr>
              <w:t xml:space="preserve"> (DAP)</w:t>
            </w:r>
            <w:r w:rsidRPr="006C4927">
              <w:rPr>
                <w:lang w:eastAsia="en-AU"/>
              </w:rPr>
              <w:t xml:space="preserve"> added to your monthly fees.  The </w:t>
            </w:r>
            <w:r w:rsidRPr="00FE26A8">
              <w:rPr>
                <w:b/>
                <w:lang w:eastAsia="en-AU"/>
              </w:rPr>
              <w:t>interest rate</w:t>
            </w:r>
            <w:r w:rsidR="00F50CB9">
              <w:rPr>
                <w:b/>
                <w:lang w:eastAsia="en-AU"/>
              </w:rPr>
              <w:t xml:space="preserve"> </w:t>
            </w:r>
            <w:r w:rsidR="00F50CB9" w:rsidRPr="00F50CB9">
              <w:rPr>
                <w:lang w:eastAsia="en-AU"/>
              </w:rPr>
              <w:t>applied</w:t>
            </w:r>
            <w:r w:rsidRPr="006C4927">
              <w:rPr>
                <w:lang w:eastAsia="en-AU"/>
              </w:rPr>
              <w:t>, referred to as the MPIR (Maximum Permissible Interest Rate), is set by the Department of Health &amp; Ag</w:t>
            </w:r>
            <w:r w:rsidR="00B3785B">
              <w:rPr>
                <w:lang w:eastAsia="en-AU"/>
              </w:rPr>
              <w:t xml:space="preserve">eing at the date of </w:t>
            </w:r>
            <w:r w:rsidR="0067520B">
              <w:rPr>
                <w:lang w:eastAsia="en-AU"/>
              </w:rPr>
              <w:t xml:space="preserve">resident </w:t>
            </w:r>
            <w:r w:rsidR="00B3785B">
              <w:rPr>
                <w:lang w:eastAsia="en-AU"/>
              </w:rPr>
              <w:t>entry</w:t>
            </w:r>
            <w:r w:rsidR="0067520B">
              <w:rPr>
                <w:lang w:eastAsia="en-AU"/>
              </w:rPr>
              <w:t>. F</w:t>
            </w:r>
            <w:r w:rsidR="00B3785B">
              <w:rPr>
                <w:lang w:eastAsia="en-AU"/>
              </w:rPr>
              <w:t xml:space="preserve">rom 1 </w:t>
            </w:r>
            <w:r w:rsidR="00D34D1E">
              <w:rPr>
                <w:lang w:eastAsia="en-AU"/>
              </w:rPr>
              <w:t>July</w:t>
            </w:r>
            <w:r w:rsidR="00A22F67">
              <w:rPr>
                <w:lang w:eastAsia="en-AU"/>
              </w:rPr>
              <w:t xml:space="preserve"> 2018</w:t>
            </w:r>
            <w:r w:rsidR="00B3785B">
              <w:rPr>
                <w:lang w:eastAsia="en-AU"/>
              </w:rPr>
              <w:t xml:space="preserve"> </w:t>
            </w:r>
            <w:r w:rsidR="0067520B">
              <w:rPr>
                <w:lang w:eastAsia="en-AU"/>
              </w:rPr>
              <w:t xml:space="preserve">the rate </w:t>
            </w:r>
            <w:r w:rsidR="00B3785B">
              <w:rPr>
                <w:lang w:eastAsia="en-AU"/>
              </w:rPr>
              <w:t>is</w:t>
            </w:r>
            <w:r w:rsidR="00D34D1E">
              <w:rPr>
                <w:lang w:eastAsia="en-AU"/>
              </w:rPr>
              <w:t xml:space="preserve"> </w:t>
            </w:r>
            <w:r w:rsidR="00D34D1E" w:rsidRPr="0067520B">
              <w:rPr>
                <w:b/>
                <w:lang w:eastAsia="en-AU"/>
              </w:rPr>
              <w:t>5.96</w:t>
            </w:r>
            <w:r w:rsidRPr="0067520B">
              <w:rPr>
                <w:b/>
                <w:lang w:eastAsia="en-AU"/>
              </w:rPr>
              <w:t>%</w:t>
            </w:r>
            <w:r w:rsidR="0067520B">
              <w:rPr>
                <w:lang w:eastAsia="en-AU"/>
              </w:rPr>
              <w:t xml:space="preserve">. The </w:t>
            </w:r>
            <w:r w:rsidRPr="006C4927">
              <w:rPr>
                <w:lang w:eastAsia="en-AU"/>
              </w:rPr>
              <w:t>charge</w:t>
            </w:r>
            <w:r w:rsidR="0067520B">
              <w:rPr>
                <w:lang w:eastAsia="en-AU"/>
              </w:rPr>
              <w:t xml:space="preserve"> is applied to the </w:t>
            </w:r>
            <w:r w:rsidRPr="006C4927">
              <w:rPr>
                <w:lang w:eastAsia="en-AU"/>
              </w:rPr>
              <w:t>unpaid room price amount.</w:t>
            </w:r>
            <w:r w:rsidR="00F50CB9">
              <w:rPr>
                <w:lang w:eastAsia="en-AU"/>
              </w:rPr>
              <w:t xml:space="preserve"> </w:t>
            </w:r>
            <w:r w:rsidR="00F50CB9" w:rsidRPr="006C4927">
              <w:t xml:space="preserve">The DAP </w:t>
            </w:r>
            <w:r w:rsidR="00F50CB9">
              <w:t xml:space="preserve">is </w:t>
            </w:r>
            <w:r w:rsidR="00F50CB9" w:rsidRPr="006C4927">
              <w:t xml:space="preserve">paid as an addition to the monthly fees </w:t>
            </w:r>
            <w:r w:rsidR="00F50CB9">
              <w:t>via direct debit.</w:t>
            </w:r>
          </w:p>
          <w:p w:rsidR="00EE58B5" w:rsidRPr="006C4927" w:rsidRDefault="00F50CB9" w:rsidP="00EE58B5">
            <w:pPr>
              <w:pStyle w:val="NoSpacing"/>
              <w:jc w:val="both"/>
              <w:rPr>
                <w:lang w:eastAsia="en-AU"/>
              </w:rPr>
            </w:pPr>
            <w:r w:rsidRPr="006C4927">
              <w:rPr>
                <w:lang w:eastAsia="en-AU"/>
              </w:rPr>
              <w:t xml:space="preserve"> </w:t>
            </w:r>
          </w:p>
          <w:p w:rsidR="00EE58B5" w:rsidRDefault="00EE58B5" w:rsidP="00EE58B5">
            <w:pPr>
              <w:pStyle w:val="NoSpacing"/>
              <w:jc w:val="both"/>
              <w:rPr>
                <w:lang w:eastAsia="en-AU"/>
              </w:rPr>
            </w:pPr>
            <w:r w:rsidRPr="006C4927">
              <w:rPr>
                <w:b/>
                <w:lang w:eastAsia="en-AU"/>
              </w:rPr>
              <w:t xml:space="preserve">Refundable Accommodation Deposit (RAD) </w:t>
            </w:r>
            <w:r w:rsidRPr="006C4927">
              <w:rPr>
                <w:lang w:eastAsia="en-AU"/>
              </w:rPr>
              <w:t xml:space="preserve">– You can choose to pay the accommodation payment in a lump sum amount.  The RAD is payable at the time of entry.  DAP charges will be levied </w:t>
            </w:r>
            <w:r w:rsidR="0067520B">
              <w:rPr>
                <w:lang w:eastAsia="en-AU"/>
              </w:rPr>
              <w:t xml:space="preserve">with the monthly fees </w:t>
            </w:r>
            <w:r w:rsidRPr="006C4927">
              <w:rPr>
                <w:lang w:eastAsia="en-AU"/>
              </w:rPr>
              <w:t xml:space="preserve">and payable </w:t>
            </w:r>
            <w:r w:rsidR="0067520B">
              <w:rPr>
                <w:lang w:eastAsia="en-AU"/>
              </w:rPr>
              <w:t xml:space="preserve">monthly by direct debit </w:t>
            </w:r>
            <w:r w:rsidRPr="006C4927">
              <w:rPr>
                <w:lang w:eastAsia="en-AU"/>
              </w:rPr>
              <w:t xml:space="preserve">until the RAD is paid.  The </w:t>
            </w:r>
            <w:r w:rsidRPr="00682B4F">
              <w:rPr>
                <w:b/>
                <w:lang w:eastAsia="en-AU"/>
              </w:rPr>
              <w:t>RAD</w:t>
            </w:r>
            <w:r w:rsidRPr="006C4927">
              <w:rPr>
                <w:lang w:eastAsia="en-AU"/>
              </w:rPr>
              <w:t xml:space="preserve"> is </w:t>
            </w:r>
            <w:r w:rsidRPr="00682B4F">
              <w:rPr>
                <w:b/>
                <w:lang w:eastAsia="en-AU"/>
              </w:rPr>
              <w:t>fully refundable</w:t>
            </w:r>
            <w:r w:rsidRPr="006C4927">
              <w:rPr>
                <w:lang w:eastAsia="en-AU"/>
              </w:rPr>
              <w:t xml:space="preserve"> within 14 days of your departure or receipt of a certified copy of Probate</w:t>
            </w:r>
            <w:r w:rsidR="0067520B">
              <w:rPr>
                <w:lang w:eastAsia="en-AU"/>
              </w:rPr>
              <w:t>,</w:t>
            </w:r>
            <w:r w:rsidRPr="006C4927">
              <w:rPr>
                <w:lang w:eastAsia="en-AU"/>
              </w:rPr>
              <w:t xml:space="preserve"> unless you choose to have fees or charges deducted from the RAD. </w:t>
            </w:r>
          </w:p>
          <w:p w:rsidR="0067520B" w:rsidRPr="006C4927" w:rsidRDefault="0067520B" w:rsidP="00EE58B5">
            <w:pPr>
              <w:pStyle w:val="NoSpacing"/>
              <w:jc w:val="both"/>
              <w:rPr>
                <w:lang w:eastAsia="en-AU"/>
              </w:rPr>
            </w:pPr>
          </w:p>
          <w:p w:rsidR="00EE58B5" w:rsidRPr="006C4927" w:rsidRDefault="00EE58B5" w:rsidP="00EE58B5">
            <w:pPr>
              <w:pStyle w:val="NoSpacing"/>
              <w:jc w:val="both"/>
              <w:rPr>
                <w:lang w:eastAsia="en-AU"/>
              </w:rPr>
            </w:pPr>
            <w:r w:rsidRPr="006C4927">
              <w:rPr>
                <w:b/>
                <w:lang w:eastAsia="en-AU"/>
              </w:rPr>
              <w:t xml:space="preserve">Combination payment - </w:t>
            </w:r>
            <w:r w:rsidRPr="006C4927">
              <w:t xml:space="preserve">You may choose to pay a combination of RAD and DAP.  You can pay any portion of the RAD </w:t>
            </w:r>
            <w:r w:rsidR="0067520B">
              <w:t xml:space="preserve">then </w:t>
            </w:r>
            <w:r w:rsidRPr="006C4927">
              <w:t xml:space="preserve">pay the remaining balance as a DAP.  The DAP </w:t>
            </w:r>
            <w:r w:rsidR="0067520B">
              <w:t xml:space="preserve">is </w:t>
            </w:r>
            <w:r w:rsidRPr="006C4927">
              <w:t xml:space="preserve">paid as an addition to the monthly fees </w:t>
            </w:r>
            <w:r w:rsidR="0067520B">
              <w:t xml:space="preserve">via direct debit </w:t>
            </w:r>
            <w:r w:rsidRPr="006C4927">
              <w:t xml:space="preserve">or deducted from the RAD </w:t>
            </w:r>
            <w:r w:rsidR="0067520B">
              <w:t xml:space="preserve">amount you have </w:t>
            </w:r>
            <w:r w:rsidRPr="006C4927">
              <w:t>paid.  If the DAP is deducted from the RAD</w:t>
            </w:r>
            <w:r w:rsidR="00F50CB9">
              <w:t>,</w:t>
            </w:r>
            <w:r w:rsidRPr="006C4927">
              <w:t xml:space="preserve"> the </w:t>
            </w:r>
            <w:r w:rsidR="00F50CB9">
              <w:t xml:space="preserve">RAD </w:t>
            </w:r>
            <w:r w:rsidRPr="006C4927">
              <w:t xml:space="preserve">balance </w:t>
            </w:r>
            <w:r w:rsidR="00F50CB9">
              <w:t>w</w:t>
            </w:r>
            <w:r w:rsidRPr="006C4927">
              <w:t xml:space="preserve">ill diminish over time </w:t>
            </w:r>
            <w:r w:rsidR="00FE26A8">
              <w:t xml:space="preserve">increasing </w:t>
            </w:r>
            <w:r w:rsidRPr="006C4927">
              <w:t xml:space="preserve">the DAP </w:t>
            </w:r>
            <w:r w:rsidR="00FE26A8">
              <w:t>payable</w:t>
            </w:r>
            <w:r w:rsidRPr="006C4927">
              <w:t xml:space="preserve">.  </w:t>
            </w:r>
            <w:r w:rsidRPr="006C4927">
              <w:rPr>
                <w:lang w:eastAsia="en-AU"/>
              </w:rPr>
              <w:t>The balance of the RAD is fully refundable.</w:t>
            </w:r>
          </w:p>
          <w:p w:rsidR="00EE58B5" w:rsidRPr="006C4927" w:rsidRDefault="00EE58B5" w:rsidP="00EE58B5">
            <w:pPr>
              <w:pStyle w:val="NoSpacing"/>
              <w:jc w:val="both"/>
              <w:rPr>
                <w:lang w:eastAsia="en-AU"/>
              </w:rPr>
            </w:pPr>
          </w:p>
          <w:p w:rsidR="00EE58B5" w:rsidRDefault="00EE58B5" w:rsidP="00EE58B5">
            <w:pPr>
              <w:pStyle w:val="NoSpacing"/>
              <w:jc w:val="both"/>
              <w:rPr>
                <w:b/>
                <w:lang w:eastAsia="en-AU"/>
              </w:rPr>
            </w:pPr>
            <w:r w:rsidRPr="006C4927">
              <w:rPr>
                <w:b/>
                <w:lang w:eastAsia="en-AU"/>
              </w:rPr>
              <w:t>SUPPORTED RESIDENTS</w:t>
            </w:r>
          </w:p>
          <w:p w:rsidR="00FE26A8" w:rsidRPr="006C4927" w:rsidRDefault="00FE26A8" w:rsidP="00EE58B5">
            <w:pPr>
              <w:pStyle w:val="NoSpacing"/>
              <w:jc w:val="both"/>
              <w:rPr>
                <w:b/>
                <w:lang w:eastAsia="en-AU"/>
              </w:rPr>
            </w:pPr>
          </w:p>
          <w:p w:rsidR="00EE58B5" w:rsidRPr="006C4927" w:rsidRDefault="00EE58B5" w:rsidP="00EE58B5">
            <w:pPr>
              <w:pStyle w:val="NoSpacing"/>
              <w:jc w:val="both"/>
              <w:rPr>
                <w:lang w:eastAsia="en-AU"/>
              </w:rPr>
            </w:pPr>
            <w:r w:rsidRPr="006C4927">
              <w:rPr>
                <w:lang w:eastAsia="en-AU"/>
              </w:rPr>
              <w:t>Residents with assets below $</w:t>
            </w:r>
            <w:r w:rsidR="002B2BAA">
              <w:rPr>
                <w:lang w:eastAsia="en-AU"/>
              </w:rPr>
              <w:t>49,000</w:t>
            </w:r>
            <w:r w:rsidRPr="006C4927">
              <w:rPr>
                <w:lang w:eastAsia="en-AU"/>
              </w:rPr>
              <w:t xml:space="preserve"> are classified as s</w:t>
            </w:r>
            <w:r w:rsidRPr="00FE26A8">
              <w:rPr>
                <w:i/>
                <w:lang w:eastAsia="en-AU"/>
              </w:rPr>
              <w:t>upported residents</w:t>
            </w:r>
            <w:r w:rsidRPr="006C4927">
              <w:rPr>
                <w:lang w:eastAsia="en-AU"/>
              </w:rPr>
              <w:t xml:space="preserve"> and </w:t>
            </w:r>
            <w:r w:rsidRPr="00FE26A8">
              <w:rPr>
                <w:i/>
                <w:lang w:eastAsia="en-AU"/>
              </w:rPr>
              <w:t>do</w:t>
            </w:r>
            <w:r w:rsidRPr="006C4927">
              <w:rPr>
                <w:lang w:eastAsia="en-AU"/>
              </w:rPr>
              <w:t xml:space="preserve"> </w:t>
            </w:r>
            <w:r w:rsidRPr="00FE26A8">
              <w:rPr>
                <w:i/>
                <w:lang w:eastAsia="en-AU"/>
              </w:rPr>
              <w:t>not</w:t>
            </w:r>
            <w:r w:rsidRPr="006C4927">
              <w:rPr>
                <w:lang w:eastAsia="en-AU"/>
              </w:rPr>
              <w:t xml:space="preserve"> pay an </w:t>
            </w:r>
            <w:r w:rsidRPr="00FE26A8">
              <w:rPr>
                <w:i/>
                <w:lang w:eastAsia="en-AU"/>
              </w:rPr>
              <w:t>Accommodation Contribution or means tested fee</w:t>
            </w:r>
            <w:r w:rsidRPr="006C4927">
              <w:rPr>
                <w:lang w:eastAsia="en-AU"/>
              </w:rPr>
              <w:t xml:space="preserve">.  </w:t>
            </w:r>
            <w:r w:rsidR="006133A6">
              <w:rPr>
                <w:lang w:eastAsia="en-AU"/>
              </w:rPr>
              <w:t>Residents</w:t>
            </w:r>
            <w:r w:rsidRPr="006C4927">
              <w:rPr>
                <w:lang w:eastAsia="en-AU"/>
              </w:rPr>
              <w:t xml:space="preserve"> with a</w:t>
            </w:r>
            <w:r w:rsidR="003A7F3E">
              <w:rPr>
                <w:lang w:eastAsia="en-AU"/>
              </w:rPr>
              <w:t>ssets between $</w:t>
            </w:r>
            <w:r w:rsidR="002B2BAA">
              <w:rPr>
                <w:lang w:eastAsia="en-AU"/>
              </w:rPr>
              <w:t>49,000</w:t>
            </w:r>
            <w:r w:rsidR="00B3785B">
              <w:rPr>
                <w:lang w:eastAsia="en-AU"/>
              </w:rPr>
              <w:t xml:space="preserve"> and $</w:t>
            </w:r>
            <w:r w:rsidR="002B2BAA">
              <w:rPr>
                <w:lang w:eastAsia="en-AU"/>
              </w:rPr>
              <w:t>166,707.20</w:t>
            </w:r>
            <w:r w:rsidR="003A7F3E" w:rsidRPr="006C4927">
              <w:rPr>
                <w:lang w:eastAsia="en-AU"/>
              </w:rPr>
              <w:t xml:space="preserve"> </w:t>
            </w:r>
            <w:r w:rsidRPr="006C4927">
              <w:rPr>
                <w:lang w:eastAsia="en-AU"/>
              </w:rPr>
              <w:t xml:space="preserve">are classified as partially supported </w:t>
            </w:r>
            <w:r w:rsidR="006133A6">
              <w:rPr>
                <w:lang w:eastAsia="en-AU"/>
              </w:rPr>
              <w:t>residents</w:t>
            </w:r>
            <w:r w:rsidRPr="006C4927">
              <w:rPr>
                <w:lang w:eastAsia="en-AU"/>
              </w:rPr>
              <w:t xml:space="preserve"> and pay a lesser Accommodation Contribution.  All supported </w:t>
            </w:r>
            <w:r w:rsidR="006133A6">
              <w:rPr>
                <w:lang w:eastAsia="en-AU"/>
              </w:rPr>
              <w:t>resident</w:t>
            </w:r>
            <w:r w:rsidR="00F619ED">
              <w:rPr>
                <w:lang w:eastAsia="en-AU"/>
              </w:rPr>
              <w:t>’s</w:t>
            </w:r>
            <w:r w:rsidRPr="006C4927">
              <w:rPr>
                <w:lang w:eastAsia="en-AU"/>
              </w:rPr>
              <w:t xml:space="preserve"> fees are reassessed by Centrelink quarter</w:t>
            </w:r>
            <w:r w:rsidR="00FE26A8">
              <w:rPr>
                <w:lang w:eastAsia="en-AU"/>
              </w:rPr>
              <w:t>ly</w:t>
            </w:r>
            <w:r w:rsidRPr="006C4927">
              <w:rPr>
                <w:lang w:eastAsia="en-AU"/>
              </w:rPr>
              <w:t xml:space="preserve"> and fees may change if the residen</w:t>
            </w:r>
            <w:r w:rsidR="00314625">
              <w:rPr>
                <w:lang w:eastAsia="en-AU"/>
              </w:rPr>
              <w:t xml:space="preserve">t’s circumstances change. e.g. </w:t>
            </w:r>
            <w:r w:rsidRPr="006C4927">
              <w:rPr>
                <w:lang w:eastAsia="en-AU"/>
              </w:rPr>
              <w:t xml:space="preserve">Where a home is not included as an assessable asset due to a spouse residing in the house at the time of the </w:t>
            </w:r>
            <w:r w:rsidR="006133A6">
              <w:rPr>
                <w:lang w:eastAsia="en-AU"/>
              </w:rPr>
              <w:t>resident</w:t>
            </w:r>
            <w:r w:rsidR="00F619ED">
              <w:rPr>
                <w:lang w:eastAsia="en-AU"/>
              </w:rPr>
              <w:t>’s</w:t>
            </w:r>
            <w:r w:rsidRPr="006C4927">
              <w:rPr>
                <w:lang w:eastAsia="en-AU"/>
              </w:rPr>
              <w:t xml:space="preserve"> arrival, if the spouse ceases to reside in the home it may then be included as an asset and the Accommodation Contribution will be increased. The </w:t>
            </w:r>
            <w:r w:rsidRPr="00FE26A8">
              <w:rPr>
                <w:b/>
                <w:lang w:eastAsia="en-AU"/>
              </w:rPr>
              <w:t>maximum</w:t>
            </w:r>
            <w:r w:rsidRPr="006C4927">
              <w:rPr>
                <w:lang w:eastAsia="en-AU"/>
              </w:rPr>
              <w:t xml:space="preserve"> </w:t>
            </w:r>
            <w:r w:rsidRPr="00FE26A8">
              <w:rPr>
                <w:b/>
                <w:lang w:eastAsia="en-AU"/>
              </w:rPr>
              <w:t>Accommodation Contribution</w:t>
            </w:r>
            <w:r w:rsidRPr="006C4927">
              <w:rPr>
                <w:lang w:eastAsia="en-AU"/>
              </w:rPr>
              <w:t xml:space="preserve"> a supported resident can be asked to pay is currently </w:t>
            </w:r>
            <w:r w:rsidRPr="00FE26A8">
              <w:rPr>
                <w:b/>
                <w:lang w:eastAsia="en-AU"/>
              </w:rPr>
              <w:t>$</w:t>
            </w:r>
            <w:r w:rsidR="002B2BAA" w:rsidRPr="00FE26A8">
              <w:rPr>
                <w:b/>
                <w:lang w:eastAsia="en-AU"/>
              </w:rPr>
              <w:t>56.59</w:t>
            </w:r>
            <w:r w:rsidRPr="00FE26A8">
              <w:rPr>
                <w:b/>
                <w:lang w:eastAsia="en-AU"/>
              </w:rPr>
              <w:t xml:space="preserve"> per</w:t>
            </w:r>
            <w:r w:rsidR="00314625" w:rsidRPr="00FE26A8">
              <w:rPr>
                <w:b/>
                <w:lang w:eastAsia="en-AU"/>
              </w:rPr>
              <w:t xml:space="preserve"> day</w:t>
            </w:r>
            <w:r w:rsidRPr="006C4927">
              <w:rPr>
                <w:lang w:eastAsia="en-AU"/>
              </w:rPr>
              <w:t>.</w:t>
            </w:r>
          </w:p>
          <w:p w:rsidR="00EE58B5" w:rsidRPr="00EE58B5" w:rsidRDefault="00EE58B5" w:rsidP="006C4927">
            <w:pPr>
              <w:pStyle w:val="NoSpacing"/>
              <w:jc w:val="both"/>
            </w:pPr>
          </w:p>
        </w:tc>
      </w:tr>
    </w:tbl>
    <w:p w:rsidR="006C4927" w:rsidRDefault="006C4927" w:rsidP="006C4927">
      <w:pPr>
        <w:pStyle w:val="NoSpacing"/>
        <w:jc w:val="both"/>
        <w:rPr>
          <w:b/>
          <w:lang w:eastAsia="en-AU"/>
        </w:rPr>
      </w:pPr>
    </w:p>
    <w:p w:rsidR="00EE58B5" w:rsidRPr="006C4927" w:rsidRDefault="00D34D1E" w:rsidP="00EE58B5">
      <w:pPr>
        <w:pStyle w:val="NoSpacing"/>
        <w:jc w:val="both"/>
        <w:rPr>
          <w:b/>
          <w:lang w:eastAsia="en-AU"/>
        </w:rPr>
      </w:pPr>
      <w:r>
        <w:rPr>
          <w:b/>
        </w:rPr>
        <w:t xml:space="preserve">Current for period </w:t>
      </w:r>
      <w:r w:rsidR="002B2BAA">
        <w:rPr>
          <w:b/>
        </w:rPr>
        <w:t>20</w:t>
      </w:r>
      <w:r w:rsidR="00FE26A8">
        <w:rPr>
          <w:b/>
        </w:rPr>
        <w:t xml:space="preserve"> September 201</w:t>
      </w:r>
      <w:r w:rsidR="002B2BAA">
        <w:rPr>
          <w:b/>
        </w:rPr>
        <w:t>8</w:t>
      </w:r>
      <w:r w:rsidR="00EE58B5" w:rsidRPr="006C4927">
        <w:rPr>
          <w:b/>
        </w:rPr>
        <w:t xml:space="preserve"> to </w:t>
      </w:r>
      <w:r w:rsidR="001C3692">
        <w:rPr>
          <w:b/>
        </w:rPr>
        <w:t>1</w:t>
      </w:r>
      <w:r w:rsidR="00FE26A8">
        <w:rPr>
          <w:b/>
        </w:rPr>
        <w:t xml:space="preserve"> Januar</w:t>
      </w:r>
      <w:bookmarkStart w:id="0" w:name="_GoBack"/>
      <w:bookmarkEnd w:id="0"/>
      <w:r w:rsidR="00FE26A8">
        <w:rPr>
          <w:b/>
        </w:rPr>
        <w:t>y 201</w:t>
      </w:r>
      <w:r w:rsidR="00010960">
        <w:rPr>
          <w:b/>
        </w:rPr>
        <w:t>9</w:t>
      </w:r>
    </w:p>
    <w:p w:rsidR="00F619ED" w:rsidRDefault="00F619ED">
      <w:pPr>
        <w:rPr>
          <w:b/>
          <w:lang w:eastAsia="en-AU"/>
        </w:rPr>
        <w:sectPr w:rsidR="00F619ED" w:rsidSect="00424978">
          <w:footerReference w:type="default" r:id="rId12"/>
          <w:pgSz w:w="11906" w:h="16838" w:code="9"/>
          <w:pgMar w:top="680" w:right="1134" w:bottom="680" w:left="1134" w:header="709" w:footer="709" w:gutter="0"/>
          <w:cols w:space="708"/>
          <w:docGrid w:linePitch="360"/>
        </w:sectPr>
      </w:pPr>
    </w:p>
    <w:tbl>
      <w:tblPr>
        <w:tblW w:w="15500" w:type="dxa"/>
        <w:tblInd w:w="93" w:type="dxa"/>
        <w:tblLook w:val="04A0" w:firstRow="1" w:lastRow="0" w:firstColumn="1" w:lastColumn="0" w:noHBand="0" w:noVBand="1"/>
      </w:tblPr>
      <w:tblGrid>
        <w:gridCol w:w="4600"/>
        <w:gridCol w:w="2180"/>
        <w:gridCol w:w="2180"/>
        <w:gridCol w:w="2180"/>
        <w:gridCol w:w="2180"/>
        <w:gridCol w:w="2180"/>
      </w:tblGrid>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lastRenderedPageBreak/>
              <w:t>Room Type</w:t>
            </w:r>
          </w:p>
        </w:tc>
        <w:tc>
          <w:tcPr>
            <w:tcW w:w="218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8"/>
                <w:szCs w:val="28"/>
                <w:lang w:eastAsia="en-AU"/>
              </w:rPr>
            </w:pPr>
            <w:r w:rsidRPr="004216D1">
              <w:rPr>
                <w:rFonts w:ascii="Calibri" w:eastAsia="Times New Roman" w:hAnsi="Calibri" w:cs="Times New Roman"/>
                <w:b/>
                <w:bCs/>
                <w:color w:val="000000"/>
                <w:sz w:val="28"/>
                <w:szCs w:val="28"/>
                <w:lang w:eastAsia="en-AU"/>
              </w:rPr>
              <w:t xml:space="preserve"> Ballarat </w:t>
            </w:r>
          </w:p>
        </w:tc>
        <w:tc>
          <w:tcPr>
            <w:tcW w:w="218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8"/>
                <w:szCs w:val="28"/>
                <w:lang w:eastAsia="en-AU"/>
              </w:rPr>
            </w:pPr>
            <w:r w:rsidRPr="004216D1">
              <w:rPr>
                <w:rFonts w:ascii="Calibri" w:eastAsia="Times New Roman" w:hAnsi="Calibri" w:cs="Times New Roman"/>
                <w:b/>
                <w:bCs/>
                <w:color w:val="000000"/>
                <w:sz w:val="28"/>
                <w:szCs w:val="28"/>
                <w:lang w:eastAsia="en-AU"/>
              </w:rPr>
              <w:t xml:space="preserve"> Camberwell </w:t>
            </w:r>
          </w:p>
        </w:tc>
        <w:tc>
          <w:tcPr>
            <w:tcW w:w="218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8"/>
                <w:szCs w:val="28"/>
                <w:lang w:eastAsia="en-AU"/>
              </w:rPr>
            </w:pPr>
            <w:r w:rsidRPr="004216D1">
              <w:rPr>
                <w:rFonts w:ascii="Calibri" w:eastAsia="Times New Roman" w:hAnsi="Calibri" w:cs="Times New Roman"/>
                <w:b/>
                <w:bCs/>
                <w:color w:val="000000"/>
                <w:sz w:val="28"/>
                <w:szCs w:val="28"/>
                <w:lang w:eastAsia="en-AU"/>
              </w:rPr>
              <w:t xml:space="preserve"> Geraldton </w:t>
            </w:r>
          </w:p>
        </w:tc>
        <w:tc>
          <w:tcPr>
            <w:tcW w:w="218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8"/>
                <w:szCs w:val="28"/>
                <w:lang w:eastAsia="en-AU"/>
              </w:rPr>
            </w:pPr>
            <w:r w:rsidRPr="004216D1">
              <w:rPr>
                <w:rFonts w:ascii="Calibri" w:eastAsia="Times New Roman" w:hAnsi="Calibri" w:cs="Times New Roman"/>
                <w:b/>
                <w:bCs/>
                <w:color w:val="000000"/>
                <w:sz w:val="28"/>
                <w:szCs w:val="28"/>
                <w:lang w:eastAsia="en-AU"/>
              </w:rPr>
              <w:t xml:space="preserve"> Tamworth </w:t>
            </w:r>
          </w:p>
        </w:tc>
        <w:tc>
          <w:tcPr>
            <w:tcW w:w="2180" w:type="dxa"/>
            <w:tcBorders>
              <w:top w:val="nil"/>
              <w:left w:val="nil"/>
              <w:bottom w:val="dashed" w:sz="4" w:space="0" w:color="auto"/>
              <w:right w:val="nil"/>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8"/>
                <w:szCs w:val="28"/>
                <w:lang w:eastAsia="en-AU"/>
              </w:rPr>
            </w:pPr>
            <w:r w:rsidRPr="004216D1">
              <w:rPr>
                <w:rFonts w:ascii="Calibri" w:eastAsia="Times New Roman" w:hAnsi="Calibri" w:cs="Times New Roman"/>
                <w:b/>
                <w:bCs/>
                <w:color w:val="000000"/>
                <w:sz w:val="28"/>
                <w:szCs w:val="28"/>
                <w:lang w:eastAsia="en-AU"/>
              </w:rPr>
              <w:t xml:space="preserve"> Wynnum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b/>
                <w:bCs/>
                <w:color w:val="FFFFFF"/>
                <w:sz w:val="24"/>
                <w:szCs w:val="24"/>
                <w:lang w:eastAsia="en-AU"/>
              </w:rPr>
            </w:pPr>
            <w:r w:rsidRPr="004216D1">
              <w:rPr>
                <w:rFonts w:ascii="Calibri" w:eastAsia="Times New Roman" w:hAnsi="Calibri" w:cs="Times New Roman"/>
                <w:b/>
                <w:bCs/>
                <w:color w:val="FFFFFF"/>
                <w:sz w:val="24"/>
                <w:szCs w:val="24"/>
                <w:lang w:eastAsia="en-AU"/>
              </w:rPr>
              <w:t>Private with ensuite</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lang w:eastAsia="en-AU"/>
              </w:rPr>
            </w:pPr>
            <w:r w:rsidRPr="004216D1">
              <w:rPr>
                <w:rFonts w:ascii="Calibri" w:eastAsia="Times New Roman" w:hAnsi="Calibri" w:cs="Times New Roman"/>
                <w:color w:val="000000"/>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lang w:eastAsia="en-AU"/>
              </w:rPr>
            </w:pPr>
            <w:r w:rsidRPr="004216D1">
              <w:rPr>
                <w:rFonts w:ascii="Calibri" w:eastAsia="Times New Roman" w:hAnsi="Calibri" w:cs="Times New Roman"/>
                <w:color w:val="000000"/>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lang w:eastAsia="en-AU"/>
              </w:rPr>
            </w:pPr>
            <w:r w:rsidRPr="004216D1">
              <w:rPr>
                <w:rFonts w:ascii="Calibri" w:eastAsia="Times New Roman" w:hAnsi="Calibri" w:cs="Times New Roman"/>
                <w:color w:val="000000"/>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lang w:eastAsia="en-AU"/>
              </w:rPr>
            </w:pPr>
            <w:r w:rsidRPr="004216D1">
              <w:rPr>
                <w:rFonts w:ascii="Calibri" w:eastAsia="Times New Roman" w:hAnsi="Calibri" w:cs="Times New Roman"/>
                <w:color w:val="000000"/>
                <w:lang w:eastAsia="en-AU"/>
              </w:rPr>
              <w:t> </w:t>
            </w:r>
          </w:p>
        </w:tc>
        <w:tc>
          <w:tcPr>
            <w:tcW w:w="2180" w:type="dxa"/>
            <w:tcBorders>
              <w:top w:val="nil"/>
              <w:left w:val="nil"/>
              <w:bottom w:val="dashed" w:sz="4" w:space="0" w:color="auto"/>
              <w:right w:val="nil"/>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lang w:eastAsia="en-AU"/>
              </w:rPr>
            </w:pPr>
            <w:r w:rsidRPr="004216D1">
              <w:rPr>
                <w:rFonts w:ascii="Calibri" w:eastAsia="Times New Roman" w:hAnsi="Calibri" w:cs="Times New Roman"/>
                <w:color w:val="000000"/>
                <w:lang w:eastAsia="en-AU"/>
              </w:rPr>
              <w:t>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625,000.00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545,000.00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$3</w:t>
            </w:r>
            <w:r w:rsidRPr="004216D1">
              <w:rPr>
                <w:rFonts w:ascii="Calibri" w:eastAsia="Times New Roman" w:hAnsi="Calibri" w:cs="Times New Roman"/>
                <w:color w:val="000000"/>
                <w:sz w:val="24"/>
                <w:szCs w:val="24"/>
                <w:lang w:eastAsia="en-AU"/>
              </w:rPr>
              <w:t xml:space="preserve">90,000.00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370,000.00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$380,000.00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$102.05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88.99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$63.68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$60.42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$62.05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$575,000.00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$450,000.00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$450,000.00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$93.89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$73.48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$73.48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813D50"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$55</w:t>
            </w:r>
            <w:r w:rsidR="004216D1" w:rsidRPr="004216D1">
              <w:rPr>
                <w:rFonts w:ascii="Calibri" w:eastAsia="Times New Roman" w:hAnsi="Calibri" w:cs="Times New Roman"/>
                <w:color w:val="000000"/>
                <w:sz w:val="24"/>
                <w:szCs w:val="24"/>
                <w:lang w:eastAsia="en-AU"/>
              </w:rPr>
              <w:t xml:space="preserve">0,000.00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520,000.00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$81.64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84.91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b/>
                <w:bCs/>
                <w:color w:val="FFFFFF"/>
                <w:sz w:val="24"/>
                <w:szCs w:val="24"/>
                <w:lang w:eastAsia="en-AU"/>
              </w:rPr>
            </w:pPr>
            <w:r w:rsidRPr="004216D1">
              <w:rPr>
                <w:rFonts w:ascii="Calibri" w:eastAsia="Times New Roman" w:hAnsi="Calibri" w:cs="Times New Roman"/>
                <w:b/>
                <w:bCs/>
                <w:color w:val="FFFFFF"/>
                <w:sz w:val="24"/>
                <w:szCs w:val="24"/>
                <w:lang w:eastAsia="en-AU"/>
              </w:rPr>
              <w:t>Private with shared ensuite</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$430,000.00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 $</w:t>
            </w:r>
            <w:r w:rsidRPr="004216D1">
              <w:rPr>
                <w:rFonts w:ascii="Calibri" w:eastAsia="Times New Roman" w:hAnsi="Calibri" w:cs="Times New Roman"/>
                <w:color w:val="000000"/>
                <w:sz w:val="24"/>
                <w:szCs w:val="24"/>
                <w:lang w:eastAsia="en-AU"/>
              </w:rPr>
              <w:t xml:space="preserve">70.21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$460,000.00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$350,000.00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$75.11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$57.15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b/>
                <w:bCs/>
                <w:color w:val="FFFFFF"/>
                <w:sz w:val="24"/>
                <w:szCs w:val="24"/>
                <w:lang w:eastAsia="en-AU"/>
              </w:rPr>
            </w:pPr>
            <w:r w:rsidRPr="004216D1">
              <w:rPr>
                <w:rFonts w:ascii="Calibri" w:eastAsia="Times New Roman" w:hAnsi="Calibri" w:cs="Times New Roman"/>
                <w:b/>
                <w:bCs/>
                <w:color w:val="FFFFFF"/>
                <w:sz w:val="24"/>
                <w:szCs w:val="24"/>
                <w:lang w:eastAsia="en-AU"/>
              </w:rPr>
              <w:t>Dual share with ensuite</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Residential Accommodation Deposit (RAD)</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$360,000.00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$300,000.00 </w:t>
            </w:r>
          </w:p>
        </w:tc>
      </w:tr>
      <w:tr w:rsidR="004216D1" w:rsidRPr="004216D1" w:rsidTr="004216D1">
        <w:trPr>
          <w:trHeight w:val="499"/>
        </w:trPr>
        <w:tc>
          <w:tcPr>
            <w:tcW w:w="4600" w:type="dxa"/>
            <w:tcBorders>
              <w:top w:val="nil"/>
              <w:left w:val="nil"/>
              <w:bottom w:val="dashed" w:sz="4" w:space="0" w:color="auto"/>
              <w:right w:val="single" w:sz="8" w:space="0" w:color="auto"/>
            </w:tcBorders>
            <w:shd w:val="clear" w:color="auto" w:fill="auto"/>
            <w:noWrap/>
            <w:vAlign w:val="bottom"/>
            <w:hideMark/>
          </w:tcPr>
          <w:p w:rsidR="004216D1" w:rsidRPr="004216D1" w:rsidRDefault="004216D1" w:rsidP="004216D1">
            <w:pPr>
              <w:spacing w:after="0" w:line="240" w:lineRule="auto"/>
              <w:rPr>
                <w:rFonts w:ascii="Calibri" w:eastAsia="Times New Roman" w:hAnsi="Calibri" w:cs="Times New Roman"/>
                <w:b/>
                <w:bCs/>
                <w:color w:val="000000"/>
                <w:sz w:val="24"/>
                <w:szCs w:val="24"/>
                <w:lang w:eastAsia="en-AU"/>
              </w:rPr>
            </w:pPr>
            <w:r w:rsidRPr="004216D1">
              <w:rPr>
                <w:rFonts w:ascii="Calibri" w:eastAsia="Times New Roman" w:hAnsi="Calibri" w:cs="Times New Roman"/>
                <w:b/>
                <w:bCs/>
                <w:color w:val="000000"/>
                <w:sz w:val="24"/>
                <w:szCs w:val="24"/>
                <w:lang w:eastAsia="en-AU"/>
              </w:rPr>
              <w:t>Daily Accommodation Payment (DAP)</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$58.78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single" w:sz="8" w:space="0" w:color="auto"/>
            </w:tcBorders>
            <w:shd w:val="clear" w:color="000000" w:fill="000000"/>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w:t>
            </w:r>
          </w:p>
        </w:tc>
        <w:tc>
          <w:tcPr>
            <w:tcW w:w="2180" w:type="dxa"/>
            <w:tcBorders>
              <w:top w:val="nil"/>
              <w:left w:val="nil"/>
              <w:bottom w:val="dashed" w:sz="4" w:space="0" w:color="auto"/>
              <w:right w:val="nil"/>
            </w:tcBorders>
            <w:shd w:val="clear" w:color="000000" w:fill="FFFFFF"/>
            <w:noWrap/>
            <w:vAlign w:val="bottom"/>
            <w:hideMark/>
          </w:tcPr>
          <w:p w:rsidR="004216D1" w:rsidRPr="004216D1" w:rsidRDefault="004216D1" w:rsidP="004216D1">
            <w:pPr>
              <w:spacing w:after="0" w:line="240" w:lineRule="auto"/>
              <w:rPr>
                <w:rFonts w:ascii="Calibri" w:eastAsia="Times New Roman" w:hAnsi="Calibri" w:cs="Times New Roman"/>
                <w:color w:val="000000"/>
                <w:sz w:val="24"/>
                <w:szCs w:val="24"/>
                <w:lang w:eastAsia="en-AU"/>
              </w:rPr>
            </w:pPr>
            <w:r w:rsidRPr="004216D1">
              <w:rPr>
                <w:rFonts w:ascii="Calibri" w:eastAsia="Times New Roman" w:hAnsi="Calibri" w:cs="Times New Roman"/>
                <w:color w:val="000000"/>
                <w:sz w:val="24"/>
                <w:szCs w:val="24"/>
                <w:lang w:eastAsia="en-AU"/>
              </w:rPr>
              <w:t xml:space="preserve"> $48.99 </w:t>
            </w:r>
          </w:p>
        </w:tc>
      </w:tr>
    </w:tbl>
    <w:p w:rsidR="00914142" w:rsidRDefault="00914142" w:rsidP="00F619ED">
      <w:pPr>
        <w:pStyle w:val="NoSpacing"/>
        <w:jc w:val="both"/>
        <w:rPr>
          <w:rFonts w:ascii="Calibri" w:eastAsia="Times New Roman" w:hAnsi="Calibri" w:cs="Times New Roman"/>
          <w:b/>
          <w:bCs/>
          <w:color w:val="000000"/>
          <w:sz w:val="24"/>
          <w:szCs w:val="24"/>
          <w:lang w:eastAsia="en-AU"/>
        </w:rPr>
      </w:pPr>
    </w:p>
    <w:p w:rsidR="004216D1" w:rsidRDefault="004216D1" w:rsidP="00F619ED">
      <w:pPr>
        <w:pStyle w:val="NoSpacing"/>
        <w:jc w:val="both"/>
        <w:rPr>
          <w:rFonts w:ascii="Calibri" w:eastAsia="Times New Roman" w:hAnsi="Calibri" w:cs="Times New Roman"/>
          <w:b/>
          <w:bCs/>
          <w:color w:val="000000"/>
          <w:sz w:val="24"/>
          <w:szCs w:val="24"/>
          <w:lang w:eastAsia="en-AU"/>
        </w:rPr>
      </w:pPr>
    </w:p>
    <w:p w:rsidR="00B32E66" w:rsidRDefault="00B32E66" w:rsidP="00F619ED">
      <w:pPr>
        <w:pStyle w:val="NoSpacing"/>
        <w:jc w:val="both"/>
        <w:rPr>
          <w:rFonts w:ascii="Calibri" w:eastAsia="Times New Roman" w:hAnsi="Calibri" w:cs="Times New Roman"/>
          <w:b/>
          <w:bCs/>
          <w:color w:val="000000"/>
          <w:sz w:val="24"/>
          <w:szCs w:val="24"/>
          <w:lang w:eastAsia="en-AU"/>
        </w:rPr>
      </w:pPr>
      <w:r w:rsidRPr="00F619ED">
        <w:rPr>
          <w:rFonts w:ascii="Calibri" w:eastAsia="Times New Roman" w:hAnsi="Calibri" w:cs="Times New Roman"/>
          <w:b/>
          <w:bCs/>
          <w:color w:val="000000"/>
          <w:sz w:val="24"/>
          <w:szCs w:val="24"/>
          <w:lang w:eastAsia="en-AU"/>
        </w:rPr>
        <w:t>MIPR</w:t>
      </w:r>
      <w:r w:rsidR="004216D1">
        <w:rPr>
          <w:rFonts w:ascii="Calibri" w:eastAsia="Times New Roman" w:hAnsi="Calibri" w:cs="Times New Roman"/>
          <w:b/>
          <w:bCs/>
          <w:color w:val="000000"/>
          <w:sz w:val="24"/>
          <w:szCs w:val="24"/>
          <w:lang w:eastAsia="en-AU"/>
        </w:rPr>
        <w:t xml:space="preserve"> – 5.96</w:t>
      </w:r>
      <w:r>
        <w:rPr>
          <w:rFonts w:ascii="Calibri" w:eastAsia="Times New Roman" w:hAnsi="Calibri" w:cs="Times New Roman"/>
          <w:b/>
          <w:bCs/>
          <w:color w:val="000000"/>
          <w:sz w:val="24"/>
          <w:szCs w:val="24"/>
          <w:lang w:eastAsia="en-AU"/>
        </w:rPr>
        <w:t>%</w:t>
      </w:r>
    </w:p>
    <w:p w:rsidR="001F64CF" w:rsidRDefault="001F64CF" w:rsidP="00F619ED">
      <w:pPr>
        <w:pStyle w:val="NoSpacing"/>
        <w:jc w:val="both"/>
        <w:rPr>
          <w:rFonts w:ascii="Calibri" w:eastAsia="Times New Roman" w:hAnsi="Calibri" w:cs="Times New Roman"/>
          <w:b/>
          <w:bCs/>
          <w:color w:val="000000"/>
          <w:sz w:val="24"/>
          <w:szCs w:val="24"/>
          <w:lang w:eastAsia="en-AU"/>
        </w:rPr>
      </w:pPr>
    </w:p>
    <w:p w:rsidR="001F64CF" w:rsidRPr="006C4927" w:rsidRDefault="001F64CF" w:rsidP="00F619ED">
      <w:pPr>
        <w:pStyle w:val="NoSpacing"/>
        <w:jc w:val="both"/>
        <w:rPr>
          <w:b/>
          <w:lang w:eastAsia="en-AU"/>
        </w:rPr>
      </w:pPr>
    </w:p>
    <w:sectPr w:rsidR="001F64CF" w:rsidRPr="006C4927" w:rsidSect="00F619ED">
      <w:pgSz w:w="16838" w:h="11906" w:orient="landscape" w:code="9"/>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C9" w:rsidRDefault="005571C9" w:rsidP="00424978">
      <w:pPr>
        <w:spacing w:after="0" w:line="240" w:lineRule="auto"/>
      </w:pPr>
      <w:r>
        <w:separator/>
      </w:r>
    </w:p>
  </w:endnote>
  <w:endnote w:type="continuationSeparator" w:id="0">
    <w:p w:rsidR="005571C9" w:rsidRDefault="005571C9" w:rsidP="0042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C9" w:rsidRDefault="005571C9" w:rsidP="006C4927">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C9" w:rsidRDefault="005571C9" w:rsidP="00424978">
      <w:pPr>
        <w:spacing w:after="0" w:line="240" w:lineRule="auto"/>
      </w:pPr>
      <w:r>
        <w:separator/>
      </w:r>
    </w:p>
  </w:footnote>
  <w:footnote w:type="continuationSeparator" w:id="0">
    <w:p w:rsidR="005571C9" w:rsidRDefault="005571C9" w:rsidP="00424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3A16"/>
    <w:multiLevelType w:val="multilevel"/>
    <w:tmpl w:val="164C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8E"/>
    <w:rsid w:val="00010960"/>
    <w:rsid w:val="0001499E"/>
    <w:rsid w:val="00016111"/>
    <w:rsid w:val="00020A43"/>
    <w:rsid w:val="000426A2"/>
    <w:rsid w:val="000652E4"/>
    <w:rsid w:val="00095B74"/>
    <w:rsid w:val="000B1E54"/>
    <w:rsid w:val="0015118E"/>
    <w:rsid w:val="00190239"/>
    <w:rsid w:val="00190DE1"/>
    <w:rsid w:val="001C2DEA"/>
    <w:rsid w:val="001C3692"/>
    <w:rsid w:val="001D066D"/>
    <w:rsid w:val="001D621E"/>
    <w:rsid w:val="001F55EC"/>
    <w:rsid w:val="001F64CF"/>
    <w:rsid w:val="00214847"/>
    <w:rsid w:val="00267021"/>
    <w:rsid w:val="002B2BAA"/>
    <w:rsid w:val="002C38FC"/>
    <w:rsid w:val="002F5365"/>
    <w:rsid w:val="002F58FB"/>
    <w:rsid w:val="00312A60"/>
    <w:rsid w:val="00314625"/>
    <w:rsid w:val="003A7F3E"/>
    <w:rsid w:val="003D14FB"/>
    <w:rsid w:val="003D6A64"/>
    <w:rsid w:val="004216D1"/>
    <w:rsid w:val="00424978"/>
    <w:rsid w:val="004B44F5"/>
    <w:rsid w:val="004D1E0D"/>
    <w:rsid w:val="005571C9"/>
    <w:rsid w:val="005E348F"/>
    <w:rsid w:val="00606262"/>
    <w:rsid w:val="006133A6"/>
    <w:rsid w:val="0067520B"/>
    <w:rsid w:val="00682B4F"/>
    <w:rsid w:val="006929F9"/>
    <w:rsid w:val="00693ADF"/>
    <w:rsid w:val="006C4927"/>
    <w:rsid w:val="00750664"/>
    <w:rsid w:val="0075367E"/>
    <w:rsid w:val="007E26FC"/>
    <w:rsid w:val="00813D50"/>
    <w:rsid w:val="008C4A4C"/>
    <w:rsid w:val="008E7DD2"/>
    <w:rsid w:val="008F404A"/>
    <w:rsid w:val="00914142"/>
    <w:rsid w:val="00922ED7"/>
    <w:rsid w:val="00947C27"/>
    <w:rsid w:val="00993A04"/>
    <w:rsid w:val="009955C5"/>
    <w:rsid w:val="009C7E1D"/>
    <w:rsid w:val="009E3BF6"/>
    <w:rsid w:val="00A22F67"/>
    <w:rsid w:val="00A3728D"/>
    <w:rsid w:val="00AC770B"/>
    <w:rsid w:val="00AD768D"/>
    <w:rsid w:val="00B32E66"/>
    <w:rsid w:val="00B3785B"/>
    <w:rsid w:val="00B54C9F"/>
    <w:rsid w:val="00B63D58"/>
    <w:rsid w:val="00B72C0B"/>
    <w:rsid w:val="00B82334"/>
    <w:rsid w:val="00B828FA"/>
    <w:rsid w:val="00B8630D"/>
    <w:rsid w:val="00B910CF"/>
    <w:rsid w:val="00BE3F57"/>
    <w:rsid w:val="00BF481B"/>
    <w:rsid w:val="00C014AA"/>
    <w:rsid w:val="00C337E1"/>
    <w:rsid w:val="00C33944"/>
    <w:rsid w:val="00C614A4"/>
    <w:rsid w:val="00C64742"/>
    <w:rsid w:val="00C7189C"/>
    <w:rsid w:val="00CA689B"/>
    <w:rsid w:val="00CB6164"/>
    <w:rsid w:val="00CC74D1"/>
    <w:rsid w:val="00D1388C"/>
    <w:rsid w:val="00D314EC"/>
    <w:rsid w:val="00D34D1E"/>
    <w:rsid w:val="00D64D7B"/>
    <w:rsid w:val="00D64FFC"/>
    <w:rsid w:val="00D72621"/>
    <w:rsid w:val="00DF5CA3"/>
    <w:rsid w:val="00E57A77"/>
    <w:rsid w:val="00E9232A"/>
    <w:rsid w:val="00EE58B5"/>
    <w:rsid w:val="00F15717"/>
    <w:rsid w:val="00F50CB9"/>
    <w:rsid w:val="00F619ED"/>
    <w:rsid w:val="00F66C56"/>
    <w:rsid w:val="00FB4FB3"/>
    <w:rsid w:val="00FE26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9F"/>
  </w:style>
  <w:style w:type="paragraph" w:styleId="Heading1">
    <w:name w:val="heading 1"/>
    <w:basedOn w:val="Normal"/>
    <w:next w:val="Normal"/>
    <w:link w:val="Heading1Char"/>
    <w:uiPriority w:val="9"/>
    <w:qFormat/>
    <w:rsid w:val="00020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0A43"/>
    <w:pPr>
      <w:spacing w:before="100" w:beforeAutospacing="1" w:after="100" w:afterAutospacing="1" w:line="240" w:lineRule="auto"/>
      <w:outlineLvl w:val="2"/>
    </w:pPr>
    <w:rPr>
      <w:rFonts w:ascii="Times New Roman" w:eastAsia="Times New Roman" w:hAnsi="Times New Roman" w:cs="Times New Roman"/>
      <w:b/>
      <w:bCs/>
      <w:color w:val="00276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ate">
    <w:name w:val="Event Date"/>
    <w:basedOn w:val="Normal"/>
    <w:qFormat/>
    <w:rsid w:val="00020A43"/>
    <w:pPr>
      <w:framePr w:hSpace="187" w:wrap="around" w:vAnchor="page" w:hAnchor="margin" w:xAlign="center" w:y="1844"/>
      <w:spacing w:after="320" w:line="240" w:lineRule="auto"/>
    </w:pPr>
    <w:rPr>
      <w:rFonts w:eastAsia="MS Mincho" w:cs="Times New Roman"/>
      <w:color w:val="365F91" w:themeColor="accent1" w:themeShade="BF"/>
      <w:spacing w:val="10"/>
      <w:sz w:val="40"/>
      <w:szCs w:val="44"/>
      <w:lang w:val="en-US" w:eastAsia="ja-JP"/>
    </w:rPr>
  </w:style>
  <w:style w:type="character" w:customStyle="1" w:styleId="Heading1Char">
    <w:name w:val="Heading 1 Char"/>
    <w:basedOn w:val="DefaultParagraphFont"/>
    <w:link w:val="Heading1"/>
    <w:uiPriority w:val="9"/>
    <w:rsid w:val="00020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0A43"/>
    <w:rPr>
      <w:rFonts w:ascii="Times New Roman" w:eastAsia="Times New Roman" w:hAnsi="Times New Roman" w:cs="Times New Roman"/>
      <w:b/>
      <w:bCs/>
      <w:color w:val="00276A"/>
      <w:lang w:eastAsia="zh-TW"/>
    </w:rPr>
  </w:style>
  <w:style w:type="paragraph" w:styleId="TOC1">
    <w:name w:val="toc 1"/>
    <w:basedOn w:val="Normal"/>
    <w:next w:val="Normal"/>
    <w:autoRedefine/>
    <w:uiPriority w:val="39"/>
    <w:semiHidden/>
    <w:unhideWhenUsed/>
    <w:qFormat/>
    <w:rsid w:val="00020A43"/>
    <w:pPr>
      <w:spacing w:after="100"/>
    </w:pPr>
    <w:rPr>
      <w:rFonts w:eastAsiaTheme="minorEastAsia"/>
      <w:lang w:val="en-US"/>
    </w:rPr>
  </w:style>
  <w:style w:type="paragraph" w:styleId="TOC2">
    <w:name w:val="toc 2"/>
    <w:basedOn w:val="Normal"/>
    <w:next w:val="Normal"/>
    <w:autoRedefine/>
    <w:uiPriority w:val="39"/>
    <w:semiHidden/>
    <w:unhideWhenUsed/>
    <w:qFormat/>
    <w:rsid w:val="00020A43"/>
    <w:pPr>
      <w:spacing w:after="100"/>
      <w:ind w:left="220"/>
    </w:pPr>
    <w:rPr>
      <w:rFonts w:eastAsiaTheme="minorEastAsia"/>
      <w:lang w:val="en-US"/>
    </w:rPr>
  </w:style>
  <w:style w:type="paragraph" w:styleId="TOC3">
    <w:name w:val="toc 3"/>
    <w:basedOn w:val="Normal"/>
    <w:next w:val="Normal"/>
    <w:autoRedefine/>
    <w:uiPriority w:val="39"/>
    <w:unhideWhenUsed/>
    <w:qFormat/>
    <w:rsid w:val="00020A43"/>
    <w:pPr>
      <w:spacing w:after="100" w:line="360" w:lineRule="auto"/>
    </w:pPr>
    <w:rPr>
      <w:rFonts w:eastAsiaTheme="minorEastAsia"/>
      <w:b/>
      <w:lang w:val="en-US"/>
    </w:rPr>
  </w:style>
  <w:style w:type="paragraph" w:styleId="ListParagraph">
    <w:name w:val="List Paragraph"/>
    <w:basedOn w:val="Normal"/>
    <w:uiPriority w:val="34"/>
    <w:qFormat/>
    <w:rsid w:val="00020A43"/>
    <w:pPr>
      <w:ind w:left="720"/>
      <w:contextualSpacing/>
    </w:pPr>
  </w:style>
  <w:style w:type="paragraph" w:styleId="TOCHeading">
    <w:name w:val="TOC Heading"/>
    <w:basedOn w:val="Heading1"/>
    <w:next w:val="Normal"/>
    <w:uiPriority w:val="39"/>
    <w:unhideWhenUsed/>
    <w:qFormat/>
    <w:rsid w:val="00020A43"/>
    <w:pPr>
      <w:outlineLvl w:val="9"/>
    </w:pPr>
    <w:rPr>
      <w:lang w:val="en-US"/>
    </w:rPr>
  </w:style>
  <w:style w:type="character" w:styleId="Hyperlink">
    <w:name w:val="Hyperlink"/>
    <w:basedOn w:val="DefaultParagraphFont"/>
    <w:uiPriority w:val="99"/>
    <w:unhideWhenUsed/>
    <w:rsid w:val="0015118E"/>
    <w:rPr>
      <w:rFonts w:ascii="Arial" w:hAnsi="Arial" w:cs="Arial" w:hint="default"/>
      <w:strike w:val="0"/>
      <w:dstrike w:val="0"/>
      <w:color w:val="0079C8"/>
      <w:u w:val="none"/>
      <w:effect w:val="none"/>
    </w:rPr>
  </w:style>
  <w:style w:type="character" w:styleId="Strong">
    <w:name w:val="Strong"/>
    <w:basedOn w:val="DefaultParagraphFont"/>
    <w:uiPriority w:val="22"/>
    <w:qFormat/>
    <w:rsid w:val="0015118E"/>
    <w:rPr>
      <w:rFonts w:ascii="Arial" w:hAnsi="Arial" w:cs="Arial" w:hint="default"/>
      <w:b w:val="0"/>
      <w:bCs w:val="0"/>
      <w:vanish w:val="0"/>
      <w:webHidden w:val="0"/>
      <w:specVanish w:val="0"/>
    </w:rPr>
  </w:style>
  <w:style w:type="paragraph" w:styleId="NormalWeb">
    <w:name w:val="Normal (Web)"/>
    <w:basedOn w:val="Normal"/>
    <w:uiPriority w:val="99"/>
    <w:semiHidden/>
    <w:unhideWhenUsed/>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customStyle="1" w:styleId="fees-text-lg">
    <w:name w:val="fees-text-lg"/>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customStyle="1" w:styleId="fees-text-md">
    <w:name w:val="fees-text-md"/>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character" w:customStyle="1" w:styleId="fee-amount2">
    <w:name w:val="fee-amount2"/>
    <w:basedOn w:val="DefaultParagraphFont"/>
    <w:rsid w:val="0015118E"/>
  </w:style>
  <w:style w:type="character" w:customStyle="1" w:styleId="fees-text-md2">
    <w:name w:val="fees-text-md2"/>
    <w:basedOn w:val="DefaultParagraphFont"/>
    <w:rsid w:val="0015118E"/>
  </w:style>
  <w:style w:type="paragraph" w:customStyle="1" w:styleId="fees-text-sm">
    <w:name w:val="fees-text-sm"/>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16111"/>
    <w:pPr>
      <w:spacing w:after="0" w:line="240" w:lineRule="auto"/>
    </w:pPr>
  </w:style>
  <w:style w:type="paragraph" w:styleId="BalloonText">
    <w:name w:val="Balloon Text"/>
    <w:basedOn w:val="Normal"/>
    <w:link w:val="BalloonTextChar"/>
    <w:uiPriority w:val="99"/>
    <w:semiHidden/>
    <w:unhideWhenUsed/>
    <w:rsid w:val="0042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78"/>
    <w:rPr>
      <w:rFonts w:ascii="Tahoma" w:hAnsi="Tahoma" w:cs="Tahoma"/>
      <w:sz w:val="16"/>
      <w:szCs w:val="16"/>
    </w:rPr>
  </w:style>
  <w:style w:type="paragraph" w:styleId="Header">
    <w:name w:val="header"/>
    <w:basedOn w:val="Normal"/>
    <w:link w:val="HeaderChar"/>
    <w:uiPriority w:val="99"/>
    <w:unhideWhenUsed/>
    <w:rsid w:val="0042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78"/>
  </w:style>
  <w:style w:type="paragraph" w:styleId="Footer">
    <w:name w:val="footer"/>
    <w:basedOn w:val="Normal"/>
    <w:link w:val="FooterChar"/>
    <w:uiPriority w:val="99"/>
    <w:unhideWhenUsed/>
    <w:rsid w:val="0042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8"/>
  </w:style>
  <w:style w:type="table" w:styleId="TableGrid">
    <w:name w:val="Table Grid"/>
    <w:basedOn w:val="TableNormal"/>
    <w:uiPriority w:val="59"/>
    <w:rsid w:val="00EE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9F"/>
  </w:style>
  <w:style w:type="paragraph" w:styleId="Heading1">
    <w:name w:val="heading 1"/>
    <w:basedOn w:val="Normal"/>
    <w:next w:val="Normal"/>
    <w:link w:val="Heading1Char"/>
    <w:uiPriority w:val="9"/>
    <w:qFormat/>
    <w:rsid w:val="00020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0A43"/>
    <w:pPr>
      <w:spacing w:before="100" w:beforeAutospacing="1" w:after="100" w:afterAutospacing="1" w:line="240" w:lineRule="auto"/>
      <w:outlineLvl w:val="2"/>
    </w:pPr>
    <w:rPr>
      <w:rFonts w:ascii="Times New Roman" w:eastAsia="Times New Roman" w:hAnsi="Times New Roman" w:cs="Times New Roman"/>
      <w:b/>
      <w:bCs/>
      <w:color w:val="00276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ate">
    <w:name w:val="Event Date"/>
    <w:basedOn w:val="Normal"/>
    <w:qFormat/>
    <w:rsid w:val="00020A43"/>
    <w:pPr>
      <w:framePr w:hSpace="187" w:wrap="around" w:vAnchor="page" w:hAnchor="margin" w:xAlign="center" w:y="1844"/>
      <w:spacing w:after="320" w:line="240" w:lineRule="auto"/>
    </w:pPr>
    <w:rPr>
      <w:rFonts w:eastAsia="MS Mincho" w:cs="Times New Roman"/>
      <w:color w:val="365F91" w:themeColor="accent1" w:themeShade="BF"/>
      <w:spacing w:val="10"/>
      <w:sz w:val="40"/>
      <w:szCs w:val="44"/>
      <w:lang w:val="en-US" w:eastAsia="ja-JP"/>
    </w:rPr>
  </w:style>
  <w:style w:type="character" w:customStyle="1" w:styleId="Heading1Char">
    <w:name w:val="Heading 1 Char"/>
    <w:basedOn w:val="DefaultParagraphFont"/>
    <w:link w:val="Heading1"/>
    <w:uiPriority w:val="9"/>
    <w:rsid w:val="00020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0A43"/>
    <w:rPr>
      <w:rFonts w:ascii="Times New Roman" w:eastAsia="Times New Roman" w:hAnsi="Times New Roman" w:cs="Times New Roman"/>
      <w:b/>
      <w:bCs/>
      <w:color w:val="00276A"/>
      <w:lang w:eastAsia="zh-TW"/>
    </w:rPr>
  </w:style>
  <w:style w:type="paragraph" w:styleId="TOC1">
    <w:name w:val="toc 1"/>
    <w:basedOn w:val="Normal"/>
    <w:next w:val="Normal"/>
    <w:autoRedefine/>
    <w:uiPriority w:val="39"/>
    <w:semiHidden/>
    <w:unhideWhenUsed/>
    <w:qFormat/>
    <w:rsid w:val="00020A43"/>
    <w:pPr>
      <w:spacing w:after="100"/>
    </w:pPr>
    <w:rPr>
      <w:rFonts w:eastAsiaTheme="minorEastAsia"/>
      <w:lang w:val="en-US"/>
    </w:rPr>
  </w:style>
  <w:style w:type="paragraph" w:styleId="TOC2">
    <w:name w:val="toc 2"/>
    <w:basedOn w:val="Normal"/>
    <w:next w:val="Normal"/>
    <w:autoRedefine/>
    <w:uiPriority w:val="39"/>
    <w:semiHidden/>
    <w:unhideWhenUsed/>
    <w:qFormat/>
    <w:rsid w:val="00020A43"/>
    <w:pPr>
      <w:spacing w:after="100"/>
      <w:ind w:left="220"/>
    </w:pPr>
    <w:rPr>
      <w:rFonts w:eastAsiaTheme="minorEastAsia"/>
      <w:lang w:val="en-US"/>
    </w:rPr>
  </w:style>
  <w:style w:type="paragraph" w:styleId="TOC3">
    <w:name w:val="toc 3"/>
    <w:basedOn w:val="Normal"/>
    <w:next w:val="Normal"/>
    <w:autoRedefine/>
    <w:uiPriority w:val="39"/>
    <w:unhideWhenUsed/>
    <w:qFormat/>
    <w:rsid w:val="00020A43"/>
    <w:pPr>
      <w:spacing w:after="100" w:line="360" w:lineRule="auto"/>
    </w:pPr>
    <w:rPr>
      <w:rFonts w:eastAsiaTheme="minorEastAsia"/>
      <w:b/>
      <w:lang w:val="en-US"/>
    </w:rPr>
  </w:style>
  <w:style w:type="paragraph" w:styleId="ListParagraph">
    <w:name w:val="List Paragraph"/>
    <w:basedOn w:val="Normal"/>
    <w:uiPriority w:val="34"/>
    <w:qFormat/>
    <w:rsid w:val="00020A43"/>
    <w:pPr>
      <w:ind w:left="720"/>
      <w:contextualSpacing/>
    </w:pPr>
  </w:style>
  <w:style w:type="paragraph" w:styleId="TOCHeading">
    <w:name w:val="TOC Heading"/>
    <w:basedOn w:val="Heading1"/>
    <w:next w:val="Normal"/>
    <w:uiPriority w:val="39"/>
    <w:unhideWhenUsed/>
    <w:qFormat/>
    <w:rsid w:val="00020A43"/>
    <w:pPr>
      <w:outlineLvl w:val="9"/>
    </w:pPr>
    <w:rPr>
      <w:lang w:val="en-US"/>
    </w:rPr>
  </w:style>
  <w:style w:type="character" w:styleId="Hyperlink">
    <w:name w:val="Hyperlink"/>
    <w:basedOn w:val="DefaultParagraphFont"/>
    <w:uiPriority w:val="99"/>
    <w:unhideWhenUsed/>
    <w:rsid w:val="0015118E"/>
    <w:rPr>
      <w:rFonts w:ascii="Arial" w:hAnsi="Arial" w:cs="Arial" w:hint="default"/>
      <w:strike w:val="0"/>
      <w:dstrike w:val="0"/>
      <w:color w:val="0079C8"/>
      <w:u w:val="none"/>
      <w:effect w:val="none"/>
    </w:rPr>
  </w:style>
  <w:style w:type="character" w:styleId="Strong">
    <w:name w:val="Strong"/>
    <w:basedOn w:val="DefaultParagraphFont"/>
    <w:uiPriority w:val="22"/>
    <w:qFormat/>
    <w:rsid w:val="0015118E"/>
    <w:rPr>
      <w:rFonts w:ascii="Arial" w:hAnsi="Arial" w:cs="Arial" w:hint="default"/>
      <w:b w:val="0"/>
      <w:bCs w:val="0"/>
      <w:vanish w:val="0"/>
      <w:webHidden w:val="0"/>
      <w:specVanish w:val="0"/>
    </w:rPr>
  </w:style>
  <w:style w:type="paragraph" w:styleId="NormalWeb">
    <w:name w:val="Normal (Web)"/>
    <w:basedOn w:val="Normal"/>
    <w:uiPriority w:val="99"/>
    <w:semiHidden/>
    <w:unhideWhenUsed/>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customStyle="1" w:styleId="fees-text-lg">
    <w:name w:val="fees-text-lg"/>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customStyle="1" w:styleId="fees-text-md">
    <w:name w:val="fees-text-md"/>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character" w:customStyle="1" w:styleId="fee-amount2">
    <w:name w:val="fee-amount2"/>
    <w:basedOn w:val="DefaultParagraphFont"/>
    <w:rsid w:val="0015118E"/>
  </w:style>
  <w:style w:type="character" w:customStyle="1" w:styleId="fees-text-md2">
    <w:name w:val="fees-text-md2"/>
    <w:basedOn w:val="DefaultParagraphFont"/>
    <w:rsid w:val="0015118E"/>
  </w:style>
  <w:style w:type="paragraph" w:customStyle="1" w:styleId="fees-text-sm">
    <w:name w:val="fees-text-sm"/>
    <w:basedOn w:val="Normal"/>
    <w:rsid w:val="0015118E"/>
    <w:pPr>
      <w:spacing w:before="100" w:beforeAutospacing="1" w:after="225"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16111"/>
    <w:pPr>
      <w:spacing w:after="0" w:line="240" w:lineRule="auto"/>
    </w:pPr>
  </w:style>
  <w:style w:type="paragraph" w:styleId="BalloonText">
    <w:name w:val="Balloon Text"/>
    <w:basedOn w:val="Normal"/>
    <w:link w:val="BalloonTextChar"/>
    <w:uiPriority w:val="99"/>
    <w:semiHidden/>
    <w:unhideWhenUsed/>
    <w:rsid w:val="0042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78"/>
    <w:rPr>
      <w:rFonts w:ascii="Tahoma" w:hAnsi="Tahoma" w:cs="Tahoma"/>
      <w:sz w:val="16"/>
      <w:szCs w:val="16"/>
    </w:rPr>
  </w:style>
  <w:style w:type="paragraph" w:styleId="Header">
    <w:name w:val="header"/>
    <w:basedOn w:val="Normal"/>
    <w:link w:val="HeaderChar"/>
    <w:uiPriority w:val="99"/>
    <w:unhideWhenUsed/>
    <w:rsid w:val="0042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78"/>
  </w:style>
  <w:style w:type="paragraph" w:styleId="Footer">
    <w:name w:val="footer"/>
    <w:basedOn w:val="Normal"/>
    <w:link w:val="FooterChar"/>
    <w:uiPriority w:val="99"/>
    <w:unhideWhenUsed/>
    <w:rsid w:val="0042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78"/>
  </w:style>
  <w:style w:type="table" w:styleId="TableGrid">
    <w:name w:val="Table Grid"/>
    <w:basedOn w:val="TableNormal"/>
    <w:uiPriority w:val="59"/>
    <w:rsid w:val="00EE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3180">
      <w:bodyDiv w:val="1"/>
      <w:marLeft w:val="0"/>
      <w:marRight w:val="0"/>
      <w:marTop w:val="0"/>
      <w:marBottom w:val="0"/>
      <w:divBdr>
        <w:top w:val="none" w:sz="0" w:space="0" w:color="auto"/>
        <w:left w:val="none" w:sz="0" w:space="0" w:color="auto"/>
        <w:bottom w:val="none" w:sz="0" w:space="0" w:color="auto"/>
        <w:right w:val="none" w:sz="0" w:space="0" w:color="auto"/>
      </w:divBdr>
    </w:div>
    <w:div w:id="394083235">
      <w:bodyDiv w:val="1"/>
      <w:marLeft w:val="0"/>
      <w:marRight w:val="0"/>
      <w:marTop w:val="0"/>
      <w:marBottom w:val="0"/>
      <w:divBdr>
        <w:top w:val="none" w:sz="0" w:space="0" w:color="auto"/>
        <w:left w:val="none" w:sz="0" w:space="0" w:color="auto"/>
        <w:bottom w:val="none" w:sz="0" w:space="0" w:color="auto"/>
        <w:right w:val="none" w:sz="0" w:space="0" w:color="auto"/>
      </w:divBdr>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sChild>
        <w:div w:id="1761441232">
          <w:marLeft w:val="0"/>
          <w:marRight w:val="0"/>
          <w:marTop w:val="0"/>
          <w:marBottom w:val="0"/>
          <w:divBdr>
            <w:top w:val="none" w:sz="0" w:space="0" w:color="auto"/>
            <w:left w:val="none" w:sz="0" w:space="0" w:color="auto"/>
            <w:bottom w:val="none" w:sz="0" w:space="0" w:color="auto"/>
            <w:right w:val="none" w:sz="0" w:space="0" w:color="auto"/>
          </w:divBdr>
          <w:divsChild>
            <w:div w:id="180631365">
              <w:marLeft w:val="0"/>
              <w:marRight w:val="0"/>
              <w:marTop w:val="0"/>
              <w:marBottom w:val="0"/>
              <w:divBdr>
                <w:top w:val="none" w:sz="0" w:space="0" w:color="auto"/>
                <w:left w:val="none" w:sz="0" w:space="0" w:color="auto"/>
                <w:bottom w:val="none" w:sz="0" w:space="0" w:color="auto"/>
                <w:right w:val="none" w:sz="0" w:space="0" w:color="auto"/>
              </w:divBdr>
              <w:divsChild>
                <w:div w:id="1582833676">
                  <w:marLeft w:val="0"/>
                  <w:marRight w:val="0"/>
                  <w:marTop w:val="0"/>
                  <w:marBottom w:val="0"/>
                  <w:divBdr>
                    <w:top w:val="none" w:sz="0" w:space="0" w:color="auto"/>
                    <w:left w:val="none" w:sz="0" w:space="0" w:color="auto"/>
                    <w:bottom w:val="none" w:sz="0" w:space="0" w:color="auto"/>
                    <w:right w:val="none" w:sz="0" w:space="0" w:color="auto"/>
                  </w:divBdr>
                  <w:divsChild>
                    <w:div w:id="944968150">
                      <w:marLeft w:val="0"/>
                      <w:marRight w:val="0"/>
                      <w:marTop w:val="0"/>
                      <w:marBottom w:val="0"/>
                      <w:divBdr>
                        <w:top w:val="none" w:sz="0" w:space="0" w:color="auto"/>
                        <w:left w:val="none" w:sz="0" w:space="0" w:color="auto"/>
                        <w:bottom w:val="none" w:sz="0" w:space="0" w:color="auto"/>
                        <w:right w:val="none" w:sz="0" w:space="0" w:color="auto"/>
                      </w:divBdr>
                      <w:divsChild>
                        <w:div w:id="754399928">
                          <w:marLeft w:val="0"/>
                          <w:marRight w:val="0"/>
                          <w:marTop w:val="0"/>
                          <w:marBottom w:val="0"/>
                          <w:divBdr>
                            <w:top w:val="none" w:sz="0" w:space="0" w:color="auto"/>
                            <w:left w:val="none" w:sz="0" w:space="0" w:color="auto"/>
                            <w:bottom w:val="none" w:sz="0" w:space="0" w:color="auto"/>
                            <w:right w:val="none" w:sz="0" w:space="0" w:color="auto"/>
                          </w:divBdr>
                          <w:divsChild>
                            <w:div w:id="1844738087">
                              <w:marLeft w:val="0"/>
                              <w:marRight w:val="0"/>
                              <w:marTop w:val="0"/>
                              <w:marBottom w:val="0"/>
                              <w:divBdr>
                                <w:top w:val="none" w:sz="0" w:space="0" w:color="auto"/>
                                <w:left w:val="none" w:sz="0" w:space="0" w:color="auto"/>
                                <w:bottom w:val="none" w:sz="0" w:space="0" w:color="auto"/>
                                <w:right w:val="none" w:sz="0" w:space="0" w:color="auto"/>
                              </w:divBdr>
                              <w:divsChild>
                                <w:div w:id="168446570">
                                  <w:marLeft w:val="-450"/>
                                  <w:marRight w:val="0"/>
                                  <w:marTop w:val="0"/>
                                  <w:marBottom w:val="0"/>
                                  <w:divBdr>
                                    <w:top w:val="none" w:sz="0" w:space="0" w:color="auto"/>
                                    <w:left w:val="none" w:sz="0" w:space="0" w:color="auto"/>
                                    <w:bottom w:val="none" w:sz="0" w:space="0" w:color="auto"/>
                                    <w:right w:val="none" w:sz="0" w:space="0" w:color="auto"/>
                                  </w:divBdr>
                                  <w:divsChild>
                                    <w:div w:id="1698310854">
                                      <w:marLeft w:val="0"/>
                                      <w:marRight w:val="0"/>
                                      <w:marTop w:val="0"/>
                                      <w:marBottom w:val="0"/>
                                      <w:divBdr>
                                        <w:top w:val="none" w:sz="0" w:space="0" w:color="auto"/>
                                        <w:left w:val="none" w:sz="0" w:space="0" w:color="auto"/>
                                        <w:bottom w:val="none" w:sz="0" w:space="0" w:color="auto"/>
                                        <w:right w:val="none" w:sz="0" w:space="0" w:color="auto"/>
                                      </w:divBdr>
                                      <w:divsChild>
                                        <w:div w:id="142505278">
                                          <w:marLeft w:val="0"/>
                                          <w:marRight w:val="0"/>
                                          <w:marTop w:val="0"/>
                                          <w:marBottom w:val="0"/>
                                          <w:divBdr>
                                            <w:top w:val="none" w:sz="0" w:space="0" w:color="auto"/>
                                            <w:left w:val="none" w:sz="0" w:space="0" w:color="auto"/>
                                            <w:bottom w:val="none" w:sz="0" w:space="0" w:color="auto"/>
                                            <w:right w:val="none" w:sz="0" w:space="0" w:color="auto"/>
                                          </w:divBdr>
                                          <w:divsChild>
                                            <w:div w:id="20126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571686">
      <w:bodyDiv w:val="1"/>
      <w:marLeft w:val="0"/>
      <w:marRight w:val="0"/>
      <w:marTop w:val="0"/>
      <w:marBottom w:val="0"/>
      <w:divBdr>
        <w:top w:val="none" w:sz="0" w:space="0" w:color="auto"/>
        <w:left w:val="none" w:sz="0" w:space="0" w:color="auto"/>
        <w:bottom w:val="none" w:sz="0" w:space="0" w:color="auto"/>
        <w:right w:val="none" w:sz="0" w:space="0" w:color="auto"/>
      </w:divBdr>
      <w:divsChild>
        <w:div w:id="1459881783">
          <w:marLeft w:val="0"/>
          <w:marRight w:val="0"/>
          <w:marTop w:val="0"/>
          <w:marBottom w:val="0"/>
          <w:divBdr>
            <w:top w:val="none" w:sz="0" w:space="0" w:color="auto"/>
            <w:left w:val="none" w:sz="0" w:space="0" w:color="auto"/>
            <w:bottom w:val="none" w:sz="0" w:space="0" w:color="auto"/>
            <w:right w:val="none" w:sz="0" w:space="0" w:color="auto"/>
          </w:divBdr>
          <w:divsChild>
            <w:div w:id="767582310">
              <w:marLeft w:val="0"/>
              <w:marRight w:val="0"/>
              <w:marTop w:val="0"/>
              <w:marBottom w:val="0"/>
              <w:divBdr>
                <w:top w:val="none" w:sz="0" w:space="0" w:color="auto"/>
                <w:left w:val="none" w:sz="0" w:space="0" w:color="auto"/>
                <w:bottom w:val="none" w:sz="0" w:space="0" w:color="auto"/>
                <w:right w:val="none" w:sz="0" w:space="0" w:color="auto"/>
              </w:divBdr>
              <w:divsChild>
                <w:div w:id="293826702">
                  <w:marLeft w:val="0"/>
                  <w:marRight w:val="0"/>
                  <w:marTop w:val="0"/>
                  <w:marBottom w:val="0"/>
                  <w:divBdr>
                    <w:top w:val="none" w:sz="0" w:space="0" w:color="auto"/>
                    <w:left w:val="none" w:sz="0" w:space="0" w:color="auto"/>
                    <w:bottom w:val="none" w:sz="0" w:space="0" w:color="auto"/>
                    <w:right w:val="none" w:sz="0" w:space="0" w:color="auto"/>
                  </w:divBdr>
                  <w:divsChild>
                    <w:div w:id="1611930229">
                      <w:marLeft w:val="0"/>
                      <w:marRight w:val="0"/>
                      <w:marTop w:val="0"/>
                      <w:marBottom w:val="0"/>
                      <w:divBdr>
                        <w:top w:val="none" w:sz="0" w:space="0" w:color="auto"/>
                        <w:left w:val="none" w:sz="0" w:space="0" w:color="auto"/>
                        <w:bottom w:val="none" w:sz="0" w:space="0" w:color="auto"/>
                        <w:right w:val="none" w:sz="0" w:space="0" w:color="auto"/>
                      </w:divBdr>
                      <w:divsChild>
                        <w:div w:id="34280759">
                          <w:marLeft w:val="0"/>
                          <w:marRight w:val="0"/>
                          <w:marTop w:val="0"/>
                          <w:marBottom w:val="0"/>
                          <w:divBdr>
                            <w:top w:val="none" w:sz="0" w:space="0" w:color="auto"/>
                            <w:left w:val="none" w:sz="0" w:space="0" w:color="auto"/>
                            <w:bottom w:val="none" w:sz="0" w:space="0" w:color="auto"/>
                            <w:right w:val="none" w:sz="0" w:space="0" w:color="auto"/>
                          </w:divBdr>
                          <w:divsChild>
                            <w:div w:id="1418134448">
                              <w:marLeft w:val="0"/>
                              <w:marRight w:val="0"/>
                              <w:marTop w:val="0"/>
                              <w:marBottom w:val="0"/>
                              <w:divBdr>
                                <w:top w:val="none" w:sz="0" w:space="0" w:color="auto"/>
                                <w:left w:val="none" w:sz="0" w:space="0" w:color="auto"/>
                                <w:bottom w:val="none" w:sz="0" w:space="0" w:color="auto"/>
                                <w:right w:val="none" w:sz="0" w:space="0" w:color="auto"/>
                              </w:divBdr>
                              <w:divsChild>
                                <w:div w:id="1413548855">
                                  <w:marLeft w:val="-450"/>
                                  <w:marRight w:val="0"/>
                                  <w:marTop w:val="0"/>
                                  <w:marBottom w:val="0"/>
                                  <w:divBdr>
                                    <w:top w:val="none" w:sz="0" w:space="0" w:color="auto"/>
                                    <w:left w:val="none" w:sz="0" w:space="0" w:color="auto"/>
                                    <w:bottom w:val="none" w:sz="0" w:space="0" w:color="auto"/>
                                    <w:right w:val="none" w:sz="0" w:space="0" w:color="auto"/>
                                  </w:divBdr>
                                  <w:divsChild>
                                    <w:div w:id="1806660104">
                                      <w:marLeft w:val="0"/>
                                      <w:marRight w:val="0"/>
                                      <w:marTop w:val="0"/>
                                      <w:marBottom w:val="0"/>
                                      <w:divBdr>
                                        <w:top w:val="none" w:sz="0" w:space="0" w:color="auto"/>
                                        <w:left w:val="none" w:sz="0" w:space="0" w:color="auto"/>
                                        <w:bottom w:val="none" w:sz="0" w:space="0" w:color="auto"/>
                                        <w:right w:val="none" w:sz="0" w:space="0" w:color="auto"/>
                                      </w:divBdr>
                                      <w:divsChild>
                                        <w:div w:id="858855905">
                                          <w:marLeft w:val="0"/>
                                          <w:marRight w:val="0"/>
                                          <w:marTop w:val="0"/>
                                          <w:marBottom w:val="0"/>
                                          <w:divBdr>
                                            <w:top w:val="none" w:sz="0" w:space="0" w:color="auto"/>
                                            <w:left w:val="none" w:sz="0" w:space="0" w:color="auto"/>
                                            <w:bottom w:val="none" w:sz="0" w:space="0" w:color="auto"/>
                                            <w:right w:val="none" w:sz="0" w:space="0" w:color="auto"/>
                                          </w:divBdr>
                                          <w:divsChild>
                                            <w:div w:id="1393115206">
                                              <w:marLeft w:val="0"/>
                                              <w:marRight w:val="0"/>
                                              <w:marTop w:val="0"/>
                                              <w:marBottom w:val="0"/>
                                              <w:divBdr>
                                                <w:top w:val="single" w:sz="12" w:space="0" w:color="F0F0F0"/>
                                                <w:left w:val="single" w:sz="12" w:space="0" w:color="F0F0F0"/>
                                                <w:bottom w:val="single" w:sz="12" w:space="0" w:color="F0F0F0"/>
                                                <w:right w:val="single" w:sz="12" w:space="0" w:color="F0F0F0"/>
                                              </w:divBdr>
                                              <w:divsChild>
                                                <w:div w:id="1479608816">
                                                  <w:marLeft w:val="0"/>
                                                  <w:marRight w:val="0"/>
                                                  <w:marTop w:val="0"/>
                                                  <w:marBottom w:val="0"/>
                                                  <w:divBdr>
                                                    <w:top w:val="none" w:sz="0" w:space="0" w:color="auto"/>
                                                    <w:left w:val="none" w:sz="0" w:space="0" w:color="auto"/>
                                                    <w:bottom w:val="none" w:sz="0" w:space="0" w:color="auto"/>
                                                    <w:right w:val="none" w:sz="0" w:space="0" w:color="auto"/>
                                                  </w:divBdr>
                                                  <w:divsChild>
                                                    <w:div w:id="1146553864">
                                                      <w:marLeft w:val="0"/>
                                                      <w:marRight w:val="0"/>
                                                      <w:marTop w:val="0"/>
                                                      <w:marBottom w:val="0"/>
                                                      <w:divBdr>
                                                        <w:top w:val="none" w:sz="0" w:space="0" w:color="auto"/>
                                                        <w:left w:val="none" w:sz="0" w:space="0" w:color="auto"/>
                                                        <w:bottom w:val="none" w:sz="0" w:space="0" w:color="auto"/>
                                                        <w:right w:val="none" w:sz="0" w:space="0" w:color="auto"/>
                                                      </w:divBdr>
                                                      <w:divsChild>
                                                        <w:div w:id="6878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495">
                                                  <w:marLeft w:val="0"/>
                                                  <w:marRight w:val="0"/>
                                                  <w:marTop w:val="0"/>
                                                  <w:marBottom w:val="0"/>
                                                  <w:divBdr>
                                                    <w:top w:val="none" w:sz="0" w:space="0" w:color="auto"/>
                                                    <w:left w:val="none" w:sz="0" w:space="0" w:color="auto"/>
                                                    <w:bottom w:val="none" w:sz="0" w:space="0" w:color="auto"/>
                                                    <w:right w:val="none" w:sz="0" w:space="0" w:color="auto"/>
                                                  </w:divBdr>
                                                  <w:divsChild>
                                                    <w:div w:id="1701009352">
                                                      <w:marLeft w:val="0"/>
                                                      <w:marRight w:val="0"/>
                                                      <w:marTop w:val="0"/>
                                                      <w:marBottom w:val="0"/>
                                                      <w:divBdr>
                                                        <w:top w:val="none" w:sz="0" w:space="0" w:color="auto"/>
                                                        <w:left w:val="none" w:sz="0" w:space="0" w:color="auto"/>
                                                        <w:bottom w:val="none" w:sz="0" w:space="0" w:color="auto"/>
                                                        <w:right w:val="none" w:sz="0" w:space="0" w:color="auto"/>
                                                      </w:divBdr>
                                                      <w:divsChild>
                                                        <w:div w:id="1421872272">
                                                          <w:marLeft w:val="0"/>
                                                          <w:marRight w:val="0"/>
                                                          <w:marTop w:val="0"/>
                                                          <w:marBottom w:val="0"/>
                                                          <w:divBdr>
                                                            <w:top w:val="none" w:sz="0" w:space="0" w:color="auto"/>
                                                            <w:left w:val="none" w:sz="0" w:space="0" w:color="auto"/>
                                                            <w:bottom w:val="none" w:sz="0" w:space="0" w:color="auto"/>
                                                            <w:right w:val="none" w:sz="0" w:space="0" w:color="auto"/>
                                                          </w:divBdr>
                                                          <w:divsChild>
                                                            <w:div w:id="1336418508">
                                                              <w:marLeft w:val="0"/>
                                                              <w:marRight w:val="0"/>
                                                              <w:marTop w:val="0"/>
                                                              <w:marBottom w:val="0"/>
                                                              <w:divBdr>
                                                                <w:top w:val="none" w:sz="0" w:space="0" w:color="auto"/>
                                                                <w:left w:val="none" w:sz="0" w:space="0" w:color="auto"/>
                                                                <w:bottom w:val="none" w:sz="0" w:space="0" w:color="auto"/>
                                                                <w:right w:val="none" w:sz="0" w:space="0" w:color="auto"/>
                                                              </w:divBdr>
                                                            </w:div>
                                                          </w:divsChild>
                                                        </w:div>
                                                        <w:div w:id="2485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087">
                                              <w:marLeft w:val="0"/>
                                              <w:marRight w:val="0"/>
                                              <w:marTop w:val="0"/>
                                              <w:marBottom w:val="0"/>
                                              <w:divBdr>
                                                <w:top w:val="none" w:sz="0" w:space="0" w:color="auto"/>
                                                <w:left w:val="none" w:sz="0" w:space="0" w:color="auto"/>
                                                <w:bottom w:val="none" w:sz="0" w:space="0" w:color="auto"/>
                                                <w:right w:val="none" w:sz="0" w:space="0" w:color="auto"/>
                                              </w:divBdr>
                                            </w:div>
                                            <w:div w:id="1186483557">
                                              <w:marLeft w:val="0"/>
                                              <w:marRight w:val="0"/>
                                              <w:marTop w:val="0"/>
                                              <w:marBottom w:val="0"/>
                                              <w:divBdr>
                                                <w:top w:val="single" w:sz="12" w:space="0" w:color="F0F0F0"/>
                                                <w:left w:val="single" w:sz="12" w:space="0" w:color="F0F0F0"/>
                                                <w:bottom w:val="single" w:sz="12" w:space="0" w:color="F0F0F0"/>
                                                <w:right w:val="single" w:sz="12" w:space="0" w:color="F0F0F0"/>
                                              </w:divBdr>
                                              <w:divsChild>
                                                <w:div w:id="842090791">
                                                  <w:marLeft w:val="0"/>
                                                  <w:marRight w:val="0"/>
                                                  <w:marTop w:val="0"/>
                                                  <w:marBottom w:val="0"/>
                                                  <w:divBdr>
                                                    <w:top w:val="none" w:sz="0" w:space="0" w:color="auto"/>
                                                    <w:left w:val="none" w:sz="0" w:space="0" w:color="auto"/>
                                                    <w:bottom w:val="none" w:sz="0" w:space="0" w:color="auto"/>
                                                    <w:right w:val="none" w:sz="0" w:space="0" w:color="auto"/>
                                                  </w:divBdr>
                                                  <w:divsChild>
                                                    <w:div w:id="1699158045">
                                                      <w:marLeft w:val="0"/>
                                                      <w:marRight w:val="0"/>
                                                      <w:marTop w:val="0"/>
                                                      <w:marBottom w:val="0"/>
                                                      <w:divBdr>
                                                        <w:top w:val="none" w:sz="0" w:space="0" w:color="auto"/>
                                                        <w:left w:val="none" w:sz="0" w:space="0" w:color="auto"/>
                                                        <w:bottom w:val="none" w:sz="0" w:space="0" w:color="auto"/>
                                                        <w:right w:val="none" w:sz="0" w:space="0" w:color="auto"/>
                                                      </w:divBdr>
                                                      <w:divsChild>
                                                        <w:div w:id="812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5562">
                                                  <w:marLeft w:val="0"/>
                                                  <w:marRight w:val="0"/>
                                                  <w:marTop w:val="0"/>
                                                  <w:marBottom w:val="0"/>
                                                  <w:divBdr>
                                                    <w:top w:val="none" w:sz="0" w:space="0" w:color="auto"/>
                                                    <w:left w:val="none" w:sz="0" w:space="0" w:color="auto"/>
                                                    <w:bottom w:val="none" w:sz="0" w:space="0" w:color="auto"/>
                                                    <w:right w:val="none" w:sz="0" w:space="0" w:color="auto"/>
                                                  </w:divBdr>
                                                  <w:divsChild>
                                                    <w:div w:id="258366544">
                                                      <w:marLeft w:val="0"/>
                                                      <w:marRight w:val="0"/>
                                                      <w:marTop w:val="0"/>
                                                      <w:marBottom w:val="0"/>
                                                      <w:divBdr>
                                                        <w:top w:val="none" w:sz="0" w:space="0" w:color="auto"/>
                                                        <w:left w:val="none" w:sz="0" w:space="0" w:color="auto"/>
                                                        <w:bottom w:val="none" w:sz="0" w:space="0" w:color="auto"/>
                                                        <w:right w:val="none" w:sz="0" w:space="0" w:color="auto"/>
                                                      </w:divBdr>
                                                      <w:divsChild>
                                                        <w:div w:id="1936204076">
                                                          <w:marLeft w:val="0"/>
                                                          <w:marRight w:val="0"/>
                                                          <w:marTop w:val="0"/>
                                                          <w:marBottom w:val="0"/>
                                                          <w:divBdr>
                                                            <w:top w:val="none" w:sz="0" w:space="0" w:color="auto"/>
                                                            <w:left w:val="none" w:sz="0" w:space="0" w:color="auto"/>
                                                            <w:bottom w:val="none" w:sz="0" w:space="0" w:color="auto"/>
                                                            <w:right w:val="none" w:sz="0" w:space="0" w:color="auto"/>
                                                          </w:divBdr>
                                                          <w:divsChild>
                                                            <w:div w:id="5641647">
                                                              <w:marLeft w:val="0"/>
                                                              <w:marRight w:val="0"/>
                                                              <w:marTop w:val="0"/>
                                                              <w:marBottom w:val="0"/>
                                                              <w:divBdr>
                                                                <w:top w:val="none" w:sz="0" w:space="0" w:color="auto"/>
                                                                <w:left w:val="none" w:sz="0" w:space="0" w:color="auto"/>
                                                                <w:bottom w:val="none" w:sz="0" w:space="0" w:color="auto"/>
                                                                <w:right w:val="none" w:sz="0" w:space="0" w:color="auto"/>
                                                              </w:divBdr>
                                                            </w:div>
                                                          </w:divsChild>
                                                        </w:div>
                                                        <w:div w:id="7350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430784">
      <w:bodyDiv w:val="1"/>
      <w:marLeft w:val="0"/>
      <w:marRight w:val="0"/>
      <w:marTop w:val="0"/>
      <w:marBottom w:val="0"/>
      <w:divBdr>
        <w:top w:val="none" w:sz="0" w:space="0" w:color="auto"/>
        <w:left w:val="none" w:sz="0" w:space="0" w:color="auto"/>
        <w:bottom w:val="none" w:sz="0" w:space="0" w:color="auto"/>
        <w:right w:val="none" w:sz="0" w:space="0" w:color="auto"/>
      </w:divBdr>
    </w:div>
    <w:div w:id="20508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manservices.gov.au/customer/services/aged-care-means-test-assessments" TargetMode="External"/><Relationship Id="rId5" Type="http://schemas.openxmlformats.org/officeDocument/2006/relationships/webSettings" Target="webSettings.xml"/><Relationship Id="rId10" Type="http://schemas.openxmlformats.org/officeDocument/2006/relationships/hyperlink" Target="http://www.myagedcare.gov.au" TargetMode="External"/><Relationship Id="rId4" Type="http://schemas.openxmlformats.org/officeDocument/2006/relationships/settings" Target="settings.xml"/><Relationship Id="rId9" Type="http://schemas.openxmlformats.org/officeDocument/2006/relationships/hyperlink" Target="https://www.myagedcare.gov.au/fee-estimator/residential-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Camberwell Administration Manager</dc:creator>
  <cp:lastModifiedBy>Executive Assistant</cp:lastModifiedBy>
  <cp:revision>2</cp:revision>
  <cp:lastPrinted>2018-10-23T22:43:00Z</cp:lastPrinted>
  <dcterms:created xsi:type="dcterms:W3CDTF">2018-10-23T22:59:00Z</dcterms:created>
  <dcterms:modified xsi:type="dcterms:W3CDTF">2018-10-23T22:59:00Z</dcterms:modified>
</cp:coreProperties>
</file>